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85C8D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0797A" w:rsidRPr="00C352E7">
        <w:rPr>
          <w:b/>
          <w:color w:val="000000"/>
        </w:rPr>
        <w:t>CAL TRANS CHESTER H. WARLOW SRRA</w:t>
      </w:r>
    </w:p>
    <w:p w14:paraId="65A99AB1" w14:textId="6ED16B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w:t>
      </w:r>
      <w:r w:rsidR="0010797A">
        <w:rPr>
          <w:rFonts w:ascii="Arial" w:hAnsi="Arial" w:cs="Arial"/>
          <w:sz w:val="24"/>
          <w:szCs w:val="24"/>
        </w:rPr>
        <w:t>17</w:t>
      </w:r>
      <w:r w:rsidR="00D11BA7">
        <w:rPr>
          <w:rFonts w:ascii="Arial" w:hAnsi="Arial" w:cs="Arial"/>
          <w:sz w:val="24"/>
          <w:szCs w:val="24"/>
        </w:rPr>
        <w:t>/2021</w:t>
      </w:r>
    </w:p>
    <w:p w14:paraId="21C05768" w14:textId="40800DCE" w:rsidR="004263A6" w:rsidRPr="003D3B57" w:rsidRDefault="004263A6" w:rsidP="0092687A">
      <w:pPr>
        <w:spacing w:after="240"/>
        <w:rPr>
          <w:rFonts w:ascii="Arial" w:hAnsi="Arial" w:cs="Arial"/>
          <w:sz w:val="24"/>
          <w:szCs w:val="24"/>
        </w:rPr>
      </w:pPr>
      <w:r w:rsidRPr="003D3B57">
        <w:rPr>
          <w:rFonts w:ascii="Arial" w:hAnsi="Arial" w:cs="Arial"/>
          <w:sz w:val="24"/>
          <w:szCs w:val="24"/>
        </w:rPr>
        <w:t xml:space="preserve">Type of Water Source(s) in Use: </w:t>
      </w:r>
      <w:r w:rsidR="003D3B57">
        <w:rPr>
          <w:rFonts w:ascii="Arial" w:hAnsi="Arial" w:cs="Arial"/>
          <w:sz w:val="24"/>
          <w:szCs w:val="24"/>
        </w:rPr>
        <w:t>GROUND WATER</w:t>
      </w:r>
    </w:p>
    <w:p w14:paraId="6AE5ED8C" w14:textId="20F1CAC6" w:rsidR="004263A6" w:rsidRPr="003D3B57" w:rsidRDefault="004263A6" w:rsidP="00D11BA7">
      <w:pPr>
        <w:spacing w:after="240"/>
        <w:rPr>
          <w:rFonts w:ascii="Arial" w:hAnsi="Arial" w:cs="Arial"/>
          <w:sz w:val="24"/>
          <w:szCs w:val="24"/>
        </w:rPr>
      </w:pPr>
      <w:r w:rsidRPr="003D3B57">
        <w:rPr>
          <w:rFonts w:ascii="Arial" w:hAnsi="Arial" w:cs="Arial"/>
          <w:sz w:val="24"/>
          <w:szCs w:val="24"/>
        </w:rPr>
        <w:t>Name and General Location of Source</w:t>
      </w:r>
      <w:r w:rsidR="003D3B57">
        <w:rPr>
          <w:rFonts w:ascii="Arial" w:hAnsi="Arial" w:cs="Arial"/>
          <w:sz w:val="24"/>
          <w:szCs w:val="24"/>
        </w:rPr>
        <w:t>: WELL #1 IS LOCATED ON THE NORTHSIDE OF PROPERTY INSIDE A CEMENT BOX</w:t>
      </w:r>
    </w:p>
    <w:p w14:paraId="1EC0942F" w14:textId="01B5A50C" w:rsidR="00D11BA7" w:rsidRPr="003D3B57" w:rsidRDefault="00D11BA7" w:rsidP="00D11BA7">
      <w:pPr>
        <w:spacing w:after="240"/>
        <w:rPr>
          <w:rFonts w:ascii="Arial" w:hAnsi="Arial" w:cs="Arial"/>
          <w:sz w:val="24"/>
          <w:szCs w:val="24"/>
        </w:rPr>
      </w:pPr>
      <w:r w:rsidRPr="003D3B57">
        <w:rPr>
          <w:rFonts w:ascii="Arial" w:hAnsi="Arial" w:cs="Arial"/>
          <w:sz w:val="24"/>
          <w:szCs w:val="24"/>
        </w:rPr>
        <w:t xml:space="preserve">Drinking Water Source Assessment information: </w:t>
      </w:r>
      <w:r w:rsidR="003D3B57">
        <w:rPr>
          <w:rFonts w:ascii="Arial" w:hAnsi="Arial" w:cs="Arial"/>
          <w:sz w:val="24"/>
          <w:szCs w:val="24"/>
        </w:rPr>
        <w:t>N/A</w:t>
      </w:r>
    </w:p>
    <w:p w14:paraId="55CC3D7E" w14:textId="6F92BFC7" w:rsidR="004263A6" w:rsidRPr="005F082E" w:rsidRDefault="004263A6" w:rsidP="00D11BA7">
      <w:pPr>
        <w:spacing w:after="240"/>
        <w:rPr>
          <w:rFonts w:ascii="Arial" w:hAnsi="Arial" w:cs="Arial"/>
          <w:sz w:val="24"/>
          <w:szCs w:val="24"/>
        </w:rPr>
      </w:pPr>
      <w:r w:rsidRPr="003D3B57">
        <w:rPr>
          <w:rFonts w:ascii="Arial" w:hAnsi="Arial" w:cs="Arial"/>
          <w:sz w:val="24"/>
          <w:szCs w:val="24"/>
        </w:rPr>
        <w:t>Time and Place of Regularly Scheduled Board Meetings for Public Participation:</w:t>
      </w:r>
      <w:r w:rsidRPr="005F082E">
        <w:rPr>
          <w:rFonts w:ascii="Arial" w:hAnsi="Arial" w:cs="Arial"/>
          <w:sz w:val="24"/>
          <w:szCs w:val="24"/>
        </w:rPr>
        <w:t xml:space="preserve"> </w:t>
      </w:r>
      <w:r w:rsidR="003D3B57">
        <w:rPr>
          <w:rFonts w:ascii="Arial" w:hAnsi="Arial" w:cs="Arial"/>
          <w:sz w:val="24"/>
          <w:szCs w:val="24"/>
        </w:rPr>
        <w:t>N/A</w:t>
      </w:r>
    </w:p>
    <w:p w14:paraId="175FE9EF" w14:textId="55E8E6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797A">
        <w:rPr>
          <w:rFonts w:ascii="Arial" w:hAnsi="Arial" w:cs="Arial"/>
          <w:sz w:val="24"/>
          <w:szCs w:val="24"/>
        </w:rPr>
        <w:t>CHRIS BOWEN (559) 246-4396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1596EC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0010797A">
        <w:rPr>
          <w:rFonts w:ascii="Arial" w:hAnsi="Arial" w:cs="Arial"/>
          <w:sz w:val="24"/>
          <w:szCs w:val="24"/>
          <w:lang w:val="es-MX"/>
        </w:rPr>
        <w:t xml:space="preserve"> </w:t>
      </w:r>
      <w:r w:rsidR="00442D66" w:rsidRPr="0050755D">
        <w:rPr>
          <w:rFonts w:ascii="Arial" w:hAnsi="Arial" w:cs="Arial"/>
          <w:sz w:val="24"/>
          <w:szCs w:val="24"/>
          <w:lang w:val="es-MX"/>
        </w:rPr>
        <w:t>] para asistirlo en español.</w:t>
      </w:r>
    </w:p>
    <w:p w14:paraId="72C2ECD4" w14:textId="35B18E8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0010797A">
        <w:rPr>
          <w:rFonts w:ascii="Arial" w:hAnsi="Arial" w:cs="Arial"/>
          <w:sz w:val="24"/>
          <w:szCs w:val="24"/>
          <w:lang w:val="es-MX"/>
        </w:rPr>
        <w:t>]</w:t>
      </w:r>
    </w:p>
    <w:p w14:paraId="7D3636E6" w14:textId="68DA6DE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4CD449B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D11BA7">
        <w:rPr>
          <w:rFonts w:ascii="Arial" w:hAnsi="Arial" w:cs="Arial"/>
          <w:sz w:val="24"/>
          <w:szCs w:val="24"/>
        </w:rPr>
        <w:t>[</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009D4211" w:rsidRPr="00D10A7C">
        <w:rPr>
          <w:rFonts w:ascii="Arial" w:hAnsi="Arial" w:cs="Arial"/>
          <w:sz w:val="24"/>
          <w:szCs w:val="24"/>
        </w:rPr>
        <w:t>] để được hỗ trợ giúp bằng tiếng Việt.</w:t>
      </w:r>
    </w:p>
    <w:p w14:paraId="76F47AA3" w14:textId="75E7A38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F082E" w:rsidRDefault="0010797A" w:rsidP="0010797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800" w:type="dxa"/>
            <w:tcBorders>
              <w:top w:val="nil"/>
              <w:bottom w:val="single" w:sz="4" w:space="0" w:color="auto"/>
            </w:tcBorders>
          </w:tcPr>
          <w:p w14:paraId="7234CA3D" w14:textId="77777777" w:rsidR="0010797A" w:rsidRDefault="0010797A" w:rsidP="0010797A">
            <w:pPr>
              <w:jc w:val="center"/>
              <w:rPr>
                <w:sz w:val="18"/>
                <w:szCs w:val="18"/>
              </w:rPr>
            </w:pPr>
            <w:r w:rsidRPr="00F41F91">
              <w:rPr>
                <w:sz w:val="18"/>
                <w:szCs w:val="18"/>
              </w:rPr>
              <w:t>(In a mo</w:t>
            </w:r>
            <w:r>
              <w:rPr>
                <w:sz w:val="18"/>
                <w:szCs w:val="18"/>
              </w:rPr>
              <w:t>nth</w:t>
            </w:r>
            <w:r w:rsidRPr="00F41F91">
              <w:rPr>
                <w:sz w:val="18"/>
                <w:szCs w:val="18"/>
              </w:rPr>
              <w:t>)</w:t>
            </w:r>
          </w:p>
          <w:p w14:paraId="0E6615E2" w14:textId="6E3F7CEB" w:rsidR="0010797A" w:rsidRPr="005F082E" w:rsidRDefault="0010797A" w:rsidP="0010797A">
            <w:pPr>
              <w:spacing w:before="40" w:after="40"/>
              <w:jc w:val="center"/>
              <w:rPr>
                <w:rFonts w:ascii="Arial" w:hAnsi="Arial" w:cs="Arial"/>
                <w:sz w:val="24"/>
                <w:szCs w:val="24"/>
                <w:u w:val="single"/>
              </w:rPr>
            </w:pPr>
            <w:r>
              <w:rPr>
                <w:sz w:val="18"/>
                <w:szCs w:val="18"/>
              </w:rPr>
              <w:t>0</w:t>
            </w:r>
          </w:p>
        </w:tc>
        <w:tc>
          <w:tcPr>
            <w:tcW w:w="1260" w:type="dxa"/>
            <w:tcBorders>
              <w:top w:val="nil"/>
              <w:bottom w:val="single" w:sz="4" w:space="0" w:color="auto"/>
            </w:tcBorders>
          </w:tcPr>
          <w:p w14:paraId="7D6226CF" w14:textId="15A5769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11C9253A" w:rsidR="0010797A" w:rsidRPr="005F082E" w:rsidRDefault="0010797A" w:rsidP="0010797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2543E25"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F1FEF56" w:rsidR="0010797A" w:rsidRPr="005F082E" w:rsidRDefault="0010797A" w:rsidP="0010797A">
            <w:pPr>
              <w:spacing w:before="40" w:after="40"/>
              <w:rPr>
                <w:rFonts w:ascii="Arial" w:hAnsi="Arial" w:cs="Arial"/>
                <w:sz w:val="24"/>
                <w:szCs w:val="24"/>
              </w:rPr>
            </w:pPr>
            <w:r w:rsidRPr="00F41F91">
              <w:rPr>
                <w:sz w:val="18"/>
                <w:szCs w:val="18"/>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F082E" w:rsidRDefault="0010797A" w:rsidP="0010797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800" w:type="dxa"/>
            <w:tcBorders>
              <w:top w:val="single" w:sz="4" w:space="0" w:color="auto"/>
              <w:bottom w:val="single" w:sz="4" w:space="0" w:color="auto"/>
            </w:tcBorders>
          </w:tcPr>
          <w:p w14:paraId="4F208AA5" w14:textId="77777777" w:rsidR="0010797A" w:rsidRDefault="0010797A" w:rsidP="0010797A">
            <w:pPr>
              <w:jc w:val="center"/>
              <w:rPr>
                <w:sz w:val="18"/>
                <w:szCs w:val="18"/>
              </w:rPr>
            </w:pPr>
            <w:r w:rsidRPr="00F41F91">
              <w:rPr>
                <w:sz w:val="18"/>
                <w:szCs w:val="18"/>
              </w:rPr>
              <w:t>(In the year)</w:t>
            </w:r>
          </w:p>
          <w:p w14:paraId="754D37D1" w14:textId="2E73C392" w:rsidR="0010797A" w:rsidRPr="005F082E" w:rsidRDefault="0010797A" w:rsidP="0010797A">
            <w:pPr>
              <w:spacing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2E633587" w14:textId="06B70ACA"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3B89FAE0" w:rsidR="0010797A" w:rsidRPr="005F082E" w:rsidRDefault="0010797A" w:rsidP="0010797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0A46533"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337E0202"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F41F91" w:rsidRDefault="0010797A" w:rsidP="0010797A">
            <w:pPr>
              <w:jc w:val="center"/>
              <w:rPr>
                <w:i/>
                <w:sz w:val="18"/>
                <w:szCs w:val="18"/>
              </w:rPr>
            </w:pPr>
            <w:r w:rsidRPr="00F41F91">
              <w:rPr>
                <w:i/>
                <w:sz w:val="18"/>
                <w:szCs w:val="18"/>
              </w:rPr>
              <w:t>E. coli</w:t>
            </w:r>
          </w:p>
          <w:p w14:paraId="4DCCEFD0" w14:textId="4DBB2CE8" w:rsidR="0010797A" w:rsidRPr="005F082E" w:rsidRDefault="0010797A" w:rsidP="0010797A">
            <w:pPr>
              <w:spacing w:before="40" w:after="40"/>
              <w:rPr>
                <w:rFonts w:ascii="Arial" w:hAnsi="Arial" w:cs="Arial"/>
                <w:sz w:val="24"/>
                <w:szCs w:val="24"/>
              </w:rPr>
            </w:pPr>
            <w:r w:rsidRPr="00F41F91">
              <w:rPr>
                <w:sz w:val="18"/>
                <w:szCs w:val="18"/>
              </w:rPr>
              <w:t>(federal Revised Total Coliform Rule)</w:t>
            </w:r>
          </w:p>
        </w:tc>
        <w:tc>
          <w:tcPr>
            <w:tcW w:w="1800" w:type="dxa"/>
            <w:tcBorders>
              <w:top w:val="single" w:sz="4" w:space="0" w:color="auto"/>
              <w:bottom w:val="single" w:sz="4" w:space="0" w:color="auto"/>
            </w:tcBorders>
          </w:tcPr>
          <w:p w14:paraId="4A18E97C" w14:textId="178E5115" w:rsidR="0010797A" w:rsidRPr="005F082E" w:rsidRDefault="0010797A" w:rsidP="0010797A">
            <w:pPr>
              <w:spacing w:before="40" w:after="40"/>
              <w:jc w:val="center"/>
              <w:rPr>
                <w:rFonts w:ascii="Arial" w:hAnsi="Arial" w:cs="Arial"/>
                <w:sz w:val="24"/>
                <w:szCs w:val="24"/>
              </w:rPr>
            </w:pPr>
            <w:r>
              <w:rPr>
                <w:sz w:val="18"/>
                <w:szCs w:val="18"/>
              </w:rPr>
              <w:t>4-1-2016-12-31-2016</w:t>
            </w:r>
          </w:p>
        </w:tc>
        <w:tc>
          <w:tcPr>
            <w:tcW w:w="1260" w:type="dxa"/>
            <w:tcBorders>
              <w:top w:val="single" w:sz="4" w:space="0" w:color="auto"/>
              <w:bottom w:val="single" w:sz="4" w:space="0" w:color="auto"/>
            </w:tcBorders>
          </w:tcPr>
          <w:p w14:paraId="38C21B9B" w14:textId="4DEBB96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E7EF09A" w:rsidR="0010797A" w:rsidRPr="005F082E" w:rsidRDefault="0010797A" w:rsidP="0010797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01ED4CA"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47ABDC"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54030A68" w14:textId="77777777" w:rsidR="0010797A" w:rsidRPr="00FC4C09" w:rsidRDefault="0010797A" w:rsidP="0010797A">
            <w:pPr>
              <w:ind w:left="180"/>
              <w:rPr>
                <w:sz w:val="18"/>
                <w:szCs w:val="18"/>
              </w:rPr>
            </w:pPr>
            <w:r w:rsidRPr="00FC4C09">
              <w:rPr>
                <w:sz w:val="18"/>
                <w:szCs w:val="18"/>
              </w:rPr>
              <w:t xml:space="preserve">NITRATE (as </w:t>
            </w:r>
            <w:r w:rsidRPr="006E061B">
              <w:rPr>
                <w:sz w:val="18"/>
                <w:szCs w:val="18"/>
              </w:rPr>
              <w:t>nitrogen, N</w:t>
            </w:r>
            <w:r w:rsidRPr="00FC4C09">
              <w:rPr>
                <w:sz w:val="18"/>
                <w:szCs w:val="18"/>
              </w:rPr>
              <w:t>)</w:t>
            </w:r>
          </w:p>
          <w:p w14:paraId="3978E8DB" w14:textId="13B30915" w:rsidR="0010797A" w:rsidRPr="005F082E" w:rsidRDefault="0010797A" w:rsidP="0010797A">
            <w:pPr>
              <w:spacing w:before="40" w:after="40"/>
              <w:ind w:left="30"/>
              <w:jc w:val="both"/>
              <w:rPr>
                <w:rFonts w:ascii="Arial" w:hAnsi="Arial" w:cs="Arial"/>
                <w:color w:val="000000" w:themeColor="text1"/>
                <w:sz w:val="24"/>
                <w:szCs w:val="24"/>
              </w:rPr>
            </w:pPr>
            <w:r>
              <w:rPr>
                <w:sz w:val="18"/>
                <w:szCs w:val="18"/>
              </w:rPr>
              <w:t>(mg/L)</w:t>
            </w:r>
          </w:p>
        </w:tc>
        <w:tc>
          <w:tcPr>
            <w:tcW w:w="1440" w:type="dxa"/>
            <w:tcBorders>
              <w:top w:val="nil"/>
            </w:tcBorders>
          </w:tcPr>
          <w:p w14:paraId="22FE5F2B" w14:textId="0E9ACF80" w:rsidR="0010797A" w:rsidRDefault="002D1608" w:rsidP="0010797A">
            <w:pPr>
              <w:jc w:val="center"/>
              <w:rPr>
                <w:sz w:val="18"/>
              </w:rPr>
            </w:pPr>
            <w:r>
              <w:rPr>
                <w:sz w:val="18"/>
              </w:rPr>
              <w:t>12/29/2020</w:t>
            </w:r>
          </w:p>
          <w:p w14:paraId="6E89FEC9" w14:textId="77777777" w:rsidR="0010797A" w:rsidRPr="005F082E" w:rsidRDefault="0010797A" w:rsidP="0010797A">
            <w:pPr>
              <w:spacing w:before="40" w:after="40"/>
              <w:jc w:val="center"/>
              <w:rPr>
                <w:rFonts w:ascii="Arial" w:hAnsi="Arial" w:cs="Arial"/>
                <w:color w:val="000000" w:themeColor="text1"/>
                <w:sz w:val="24"/>
                <w:szCs w:val="24"/>
              </w:rPr>
            </w:pPr>
          </w:p>
        </w:tc>
        <w:tc>
          <w:tcPr>
            <w:tcW w:w="1260" w:type="dxa"/>
            <w:tcBorders>
              <w:top w:val="nil"/>
            </w:tcBorders>
          </w:tcPr>
          <w:p w14:paraId="3F004E12" w14:textId="2D946672" w:rsidR="0010797A" w:rsidRPr="005F082E" w:rsidRDefault="002D1608" w:rsidP="0010797A">
            <w:pPr>
              <w:spacing w:before="40" w:after="40"/>
              <w:jc w:val="center"/>
              <w:rPr>
                <w:rFonts w:ascii="Arial" w:hAnsi="Arial" w:cs="Arial"/>
                <w:color w:val="000000" w:themeColor="text1"/>
                <w:sz w:val="24"/>
                <w:szCs w:val="24"/>
              </w:rPr>
            </w:pPr>
            <w:r>
              <w:rPr>
                <w:sz w:val="18"/>
                <w:szCs w:val="18"/>
              </w:rPr>
              <w:t>ND</w:t>
            </w:r>
          </w:p>
        </w:tc>
        <w:tc>
          <w:tcPr>
            <w:tcW w:w="1530" w:type="dxa"/>
            <w:tcBorders>
              <w:top w:val="nil"/>
            </w:tcBorders>
          </w:tcPr>
          <w:p w14:paraId="09BFD57E" w14:textId="706FAC77" w:rsidR="0010797A" w:rsidRPr="005F082E" w:rsidRDefault="0010797A" w:rsidP="0010797A">
            <w:pPr>
              <w:spacing w:before="40" w:after="40"/>
              <w:jc w:val="center"/>
              <w:rPr>
                <w:rFonts w:ascii="Arial" w:hAnsi="Arial" w:cs="Arial"/>
                <w:color w:val="000000" w:themeColor="text1"/>
                <w:sz w:val="24"/>
                <w:szCs w:val="24"/>
              </w:rPr>
            </w:pPr>
            <w:r>
              <w:rPr>
                <w:sz w:val="18"/>
                <w:szCs w:val="18"/>
              </w:rPr>
              <w:t>1.7-8.3</w:t>
            </w:r>
          </w:p>
        </w:tc>
        <w:tc>
          <w:tcPr>
            <w:tcW w:w="1170" w:type="dxa"/>
            <w:tcBorders>
              <w:top w:val="nil"/>
            </w:tcBorders>
          </w:tcPr>
          <w:p w14:paraId="1F6E0B28" w14:textId="0738491F"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1260" w:type="dxa"/>
            <w:tcBorders>
              <w:top w:val="nil"/>
            </w:tcBorders>
          </w:tcPr>
          <w:p w14:paraId="5BAEC2D7" w14:textId="1559CF5B"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2340" w:type="dxa"/>
            <w:tcBorders>
              <w:top w:val="nil"/>
              <w:right w:val="single" w:sz="6" w:space="0" w:color="auto"/>
            </w:tcBorders>
          </w:tcPr>
          <w:p w14:paraId="5A758C9E" w14:textId="3174862A"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Runoff and leaching from fertilizer use; leaching from septic tanks and sewage; erosion of natural deposits. </w:t>
            </w:r>
          </w:p>
        </w:tc>
      </w:tr>
      <w:tr w:rsidR="0010797A" w:rsidRPr="005F082E" w14:paraId="251021C7" w14:textId="77777777" w:rsidTr="0010797A">
        <w:trPr>
          <w:trHeight w:val="432"/>
        </w:trPr>
        <w:tc>
          <w:tcPr>
            <w:tcW w:w="2245" w:type="dxa"/>
            <w:tcBorders>
              <w:top w:val="nil"/>
              <w:left w:val="single" w:sz="6" w:space="0" w:color="auto"/>
            </w:tcBorders>
            <w:tcMar>
              <w:left w:w="58" w:type="dxa"/>
              <w:right w:w="58" w:type="dxa"/>
            </w:tcMar>
          </w:tcPr>
          <w:p w14:paraId="514428AE" w14:textId="77777777" w:rsidR="0010797A" w:rsidRDefault="0010797A" w:rsidP="0010797A">
            <w:pPr>
              <w:ind w:left="180"/>
              <w:rPr>
                <w:sz w:val="18"/>
              </w:rPr>
            </w:pPr>
            <w:r w:rsidRPr="006E061B">
              <w:rPr>
                <w:sz w:val="18"/>
              </w:rPr>
              <w:t>A</w:t>
            </w:r>
            <w:r>
              <w:rPr>
                <w:sz w:val="18"/>
              </w:rPr>
              <w:t>RSENIC</w:t>
            </w:r>
          </w:p>
          <w:p w14:paraId="39CD6AE1" w14:textId="3ED9883B" w:rsidR="0010797A" w:rsidRPr="005F082E" w:rsidRDefault="0010797A" w:rsidP="0010797A">
            <w:pPr>
              <w:spacing w:before="40" w:after="40"/>
              <w:ind w:left="30"/>
              <w:jc w:val="both"/>
              <w:rPr>
                <w:rFonts w:ascii="Arial" w:hAnsi="Arial" w:cs="Arial"/>
                <w:color w:val="000000" w:themeColor="text1"/>
                <w:sz w:val="24"/>
                <w:szCs w:val="24"/>
              </w:rPr>
            </w:pPr>
            <w:r w:rsidRPr="0044361E">
              <w:rPr>
                <w:szCs w:val="22"/>
              </w:rPr>
              <w:t>(</w:t>
            </w:r>
            <w:r w:rsidRPr="005E32EF">
              <w:t>µg/L</w:t>
            </w:r>
            <w:r w:rsidRPr="0044361E">
              <w:rPr>
                <w:szCs w:val="22"/>
              </w:rPr>
              <w:t>)</w:t>
            </w:r>
          </w:p>
        </w:tc>
        <w:tc>
          <w:tcPr>
            <w:tcW w:w="1440" w:type="dxa"/>
            <w:tcBorders>
              <w:top w:val="nil"/>
            </w:tcBorders>
          </w:tcPr>
          <w:p w14:paraId="3A4C244A" w14:textId="77777777" w:rsidR="0010797A" w:rsidRDefault="0010797A" w:rsidP="0010797A">
            <w:pPr>
              <w:jc w:val="center"/>
              <w:rPr>
                <w:sz w:val="18"/>
              </w:rPr>
            </w:pPr>
            <w:r>
              <w:rPr>
                <w:sz w:val="18"/>
              </w:rPr>
              <w:t>6-26-2019</w:t>
            </w:r>
          </w:p>
          <w:p w14:paraId="188A0D96" w14:textId="1618F118" w:rsidR="0010797A" w:rsidRPr="005F082E" w:rsidRDefault="0010797A" w:rsidP="0010797A">
            <w:pPr>
              <w:spacing w:before="40" w:after="40"/>
              <w:jc w:val="center"/>
              <w:rPr>
                <w:rFonts w:ascii="Arial" w:hAnsi="Arial" w:cs="Arial"/>
                <w:color w:val="000000" w:themeColor="text1"/>
                <w:sz w:val="24"/>
                <w:szCs w:val="24"/>
              </w:rPr>
            </w:pPr>
            <w:r>
              <w:rPr>
                <w:sz w:val="18"/>
              </w:rPr>
              <w:t>2-20-2019</w:t>
            </w:r>
          </w:p>
        </w:tc>
        <w:tc>
          <w:tcPr>
            <w:tcW w:w="1260" w:type="dxa"/>
            <w:tcBorders>
              <w:top w:val="nil"/>
            </w:tcBorders>
          </w:tcPr>
          <w:p w14:paraId="0337F0CA" w14:textId="55E5E0C3" w:rsidR="0010797A" w:rsidRPr="005F082E" w:rsidRDefault="0010797A" w:rsidP="0010797A">
            <w:pPr>
              <w:spacing w:before="40" w:after="40"/>
              <w:jc w:val="center"/>
              <w:rPr>
                <w:rFonts w:ascii="Arial" w:hAnsi="Arial" w:cs="Arial"/>
                <w:color w:val="000000" w:themeColor="text1"/>
                <w:sz w:val="24"/>
                <w:szCs w:val="24"/>
              </w:rPr>
            </w:pPr>
            <w:r>
              <w:rPr>
                <w:sz w:val="18"/>
              </w:rPr>
              <w:t>ND</w:t>
            </w:r>
          </w:p>
        </w:tc>
        <w:tc>
          <w:tcPr>
            <w:tcW w:w="1530" w:type="dxa"/>
            <w:tcBorders>
              <w:top w:val="nil"/>
            </w:tcBorders>
          </w:tcPr>
          <w:p w14:paraId="141D18D4" w14:textId="6EEC77C5" w:rsidR="0010797A" w:rsidRPr="005F082E" w:rsidRDefault="0010797A" w:rsidP="0010797A">
            <w:pPr>
              <w:spacing w:before="40" w:after="40"/>
              <w:jc w:val="center"/>
              <w:rPr>
                <w:rFonts w:ascii="Arial" w:hAnsi="Arial" w:cs="Arial"/>
                <w:color w:val="000000" w:themeColor="text1"/>
                <w:sz w:val="24"/>
                <w:szCs w:val="24"/>
              </w:rPr>
            </w:pPr>
            <w:r>
              <w:rPr>
                <w:sz w:val="18"/>
              </w:rPr>
              <w:t>ND-ND</w:t>
            </w:r>
          </w:p>
        </w:tc>
        <w:tc>
          <w:tcPr>
            <w:tcW w:w="1170" w:type="dxa"/>
            <w:tcBorders>
              <w:top w:val="nil"/>
            </w:tcBorders>
          </w:tcPr>
          <w:p w14:paraId="3B4E2D46" w14:textId="00BBC618" w:rsidR="0010797A" w:rsidRPr="005F082E" w:rsidRDefault="0010797A" w:rsidP="0010797A">
            <w:pPr>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412BA002" w14:textId="3EAB2E35" w:rsidR="0010797A" w:rsidRPr="005F082E" w:rsidRDefault="0010797A" w:rsidP="0010797A">
            <w:pPr>
              <w:spacing w:before="40" w:after="40"/>
              <w:jc w:val="center"/>
              <w:rPr>
                <w:rFonts w:ascii="Arial" w:hAnsi="Arial" w:cs="Arial"/>
                <w:color w:val="000000" w:themeColor="text1"/>
                <w:sz w:val="24"/>
                <w:szCs w:val="24"/>
              </w:rPr>
            </w:pPr>
            <w:r>
              <w:rPr>
                <w:sz w:val="18"/>
              </w:rPr>
              <w:t>0.004</w:t>
            </w:r>
          </w:p>
        </w:tc>
        <w:tc>
          <w:tcPr>
            <w:tcW w:w="2340" w:type="dxa"/>
            <w:tcBorders>
              <w:top w:val="nil"/>
              <w:right w:val="single" w:sz="6" w:space="0" w:color="auto"/>
            </w:tcBorders>
          </w:tcPr>
          <w:p w14:paraId="41A654CD" w14:textId="48187687" w:rsidR="0010797A" w:rsidRPr="005F082E" w:rsidRDefault="0010797A" w:rsidP="0010797A">
            <w:pPr>
              <w:spacing w:before="40" w:after="40"/>
              <w:jc w:val="center"/>
              <w:rPr>
                <w:rFonts w:ascii="Arial" w:hAnsi="Arial" w:cs="Arial"/>
                <w:color w:val="000000" w:themeColor="text1"/>
                <w:sz w:val="24"/>
                <w:szCs w:val="24"/>
              </w:rPr>
            </w:pPr>
            <w:r w:rsidRPr="006E061B">
              <w:rPr>
                <w:sz w:val="18"/>
              </w:rPr>
              <w:t>Erosion of natural deposits; runoff from orchards; glass and electronics production wastes</w:t>
            </w:r>
          </w:p>
        </w:tc>
      </w:tr>
      <w:tr w:rsidR="0010797A" w:rsidRPr="005F082E" w14:paraId="7007D5A7" w14:textId="77777777" w:rsidTr="0010797A">
        <w:trPr>
          <w:trHeight w:val="432"/>
        </w:trPr>
        <w:tc>
          <w:tcPr>
            <w:tcW w:w="2245" w:type="dxa"/>
            <w:tcBorders>
              <w:top w:val="nil"/>
              <w:left w:val="single" w:sz="6" w:space="0" w:color="auto"/>
            </w:tcBorders>
            <w:tcMar>
              <w:left w:w="58" w:type="dxa"/>
              <w:right w:w="58" w:type="dxa"/>
            </w:tcMar>
          </w:tcPr>
          <w:p w14:paraId="33A2072A" w14:textId="19178F41" w:rsidR="0010797A" w:rsidRPr="006E061B" w:rsidRDefault="0010797A" w:rsidP="0010797A">
            <w:pPr>
              <w:ind w:left="180"/>
              <w:rPr>
                <w:sz w:val="18"/>
              </w:rPr>
            </w:pPr>
            <w:r>
              <w:rPr>
                <w:sz w:val="18"/>
              </w:rPr>
              <w:t>CHLORINE (Distribution System) (mg/L)</w:t>
            </w:r>
          </w:p>
        </w:tc>
        <w:tc>
          <w:tcPr>
            <w:tcW w:w="1440" w:type="dxa"/>
            <w:tcBorders>
              <w:top w:val="nil"/>
            </w:tcBorders>
          </w:tcPr>
          <w:p w14:paraId="69F9B56A" w14:textId="37DF709A" w:rsidR="0010797A" w:rsidRDefault="0010797A" w:rsidP="0010797A">
            <w:pPr>
              <w:jc w:val="center"/>
              <w:rPr>
                <w:sz w:val="18"/>
              </w:rPr>
            </w:pPr>
            <w:r>
              <w:rPr>
                <w:sz w:val="18"/>
              </w:rPr>
              <w:t>JAN-DEC 2019</w:t>
            </w:r>
          </w:p>
        </w:tc>
        <w:tc>
          <w:tcPr>
            <w:tcW w:w="1260" w:type="dxa"/>
            <w:tcBorders>
              <w:top w:val="nil"/>
            </w:tcBorders>
          </w:tcPr>
          <w:p w14:paraId="2BB19793" w14:textId="11EFA26F" w:rsidR="0010797A" w:rsidRDefault="0010797A" w:rsidP="0010797A">
            <w:pPr>
              <w:spacing w:before="40" w:after="40"/>
              <w:jc w:val="center"/>
              <w:rPr>
                <w:sz w:val="18"/>
              </w:rPr>
            </w:pPr>
            <w:r>
              <w:rPr>
                <w:sz w:val="18"/>
              </w:rPr>
              <w:t>1.17</w:t>
            </w:r>
          </w:p>
        </w:tc>
        <w:tc>
          <w:tcPr>
            <w:tcW w:w="1530" w:type="dxa"/>
            <w:tcBorders>
              <w:top w:val="nil"/>
            </w:tcBorders>
          </w:tcPr>
          <w:p w14:paraId="5710A3BD" w14:textId="313731AD" w:rsidR="0010797A" w:rsidRDefault="0010797A" w:rsidP="0010797A">
            <w:pPr>
              <w:spacing w:before="40" w:after="40"/>
              <w:jc w:val="center"/>
              <w:rPr>
                <w:sz w:val="18"/>
              </w:rPr>
            </w:pPr>
            <w:r>
              <w:rPr>
                <w:sz w:val="18"/>
              </w:rPr>
              <w:t>0.5-2.0</w:t>
            </w:r>
          </w:p>
        </w:tc>
        <w:tc>
          <w:tcPr>
            <w:tcW w:w="1170" w:type="dxa"/>
            <w:tcBorders>
              <w:top w:val="single" w:sz="6" w:space="0" w:color="auto"/>
              <w:left w:val="single" w:sz="6" w:space="0" w:color="auto"/>
              <w:bottom w:val="single" w:sz="6" w:space="0" w:color="auto"/>
            </w:tcBorders>
          </w:tcPr>
          <w:p w14:paraId="3466727C" w14:textId="2D7979EA" w:rsidR="0010797A" w:rsidRDefault="0010797A" w:rsidP="0010797A">
            <w:pPr>
              <w:spacing w:before="40" w:after="40"/>
              <w:jc w:val="center"/>
              <w:rPr>
                <w:sz w:val="18"/>
              </w:rPr>
            </w:pPr>
            <w:r w:rsidRPr="00983A97">
              <w:rPr>
                <w:sz w:val="18"/>
              </w:rPr>
              <w:t>[MRDL =</w:t>
            </w:r>
            <w:r w:rsidRPr="00983A97">
              <w:rPr>
                <w:sz w:val="18"/>
              </w:rPr>
              <w:br/>
              <w:t>4.0 (as Cl</w:t>
            </w:r>
            <w:r w:rsidRPr="00983A97">
              <w:rPr>
                <w:sz w:val="18"/>
                <w:vertAlign w:val="subscript"/>
              </w:rPr>
              <w:t>2)</w:t>
            </w:r>
            <w:r w:rsidRPr="00983A97">
              <w:rPr>
                <w:sz w:val="18"/>
              </w:rPr>
              <w:t>]</w:t>
            </w:r>
          </w:p>
        </w:tc>
        <w:tc>
          <w:tcPr>
            <w:tcW w:w="1260" w:type="dxa"/>
            <w:tcBorders>
              <w:top w:val="single" w:sz="6" w:space="0" w:color="auto"/>
              <w:left w:val="single" w:sz="6" w:space="0" w:color="auto"/>
              <w:bottom w:val="single" w:sz="6" w:space="0" w:color="auto"/>
            </w:tcBorders>
          </w:tcPr>
          <w:p w14:paraId="5942DD4E" w14:textId="2846C519" w:rsidR="0010797A" w:rsidRDefault="0010797A" w:rsidP="0010797A">
            <w:pPr>
              <w:spacing w:before="40" w:after="40"/>
              <w:jc w:val="center"/>
              <w:rPr>
                <w:sz w:val="18"/>
              </w:rPr>
            </w:pPr>
            <w:r w:rsidRPr="00983A97">
              <w:rPr>
                <w:sz w:val="18"/>
              </w:rPr>
              <w:t>[MRDLG = 4 (as Cl</w:t>
            </w:r>
            <w:r w:rsidRPr="00983A97">
              <w:rPr>
                <w:sz w:val="18"/>
                <w:vertAlign w:val="subscript"/>
              </w:rPr>
              <w:t>2)</w:t>
            </w:r>
          </w:p>
        </w:tc>
        <w:tc>
          <w:tcPr>
            <w:tcW w:w="2340" w:type="dxa"/>
            <w:tcBorders>
              <w:top w:val="single" w:sz="6" w:space="0" w:color="auto"/>
              <w:left w:val="single" w:sz="6" w:space="0" w:color="auto"/>
              <w:bottom w:val="single" w:sz="6" w:space="0" w:color="auto"/>
              <w:right w:val="single" w:sz="6" w:space="0" w:color="auto"/>
            </w:tcBorders>
          </w:tcPr>
          <w:p w14:paraId="7530E681" w14:textId="3E0427AC" w:rsidR="0010797A" w:rsidRPr="006E061B" w:rsidRDefault="0010797A" w:rsidP="0010797A">
            <w:pPr>
              <w:spacing w:before="40" w:after="40"/>
              <w:jc w:val="center"/>
              <w:rPr>
                <w:sz w:val="18"/>
              </w:rPr>
            </w:pPr>
            <w:r w:rsidRPr="00983A97">
              <w:rPr>
                <w:sz w:val="18"/>
              </w:rPr>
              <w:t>Drinking water disinfectant added for treatment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42526A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4241" w14:textId="77777777" w:rsidR="005368BA" w:rsidRDefault="005368BA">
      <w:r>
        <w:separator/>
      </w:r>
    </w:p>
    <w:p w14:paraId="71589E43" w14:textId="77777777" w:rsidR="005368BA" w:rsidRDefault="005368BA"/>
  </w:endnote>
  <w:endnote w:type="continuationSeparator" w:id="0">
    <w:p w14:paraId="2A562055" w14:textId="77777777" w:rsidR="005368BA" w:rsidRDefault="005368BA">
      <w:r>
        <w:continuationSeparator/>
      </w:r>
    </w:p>
    <w:p w14:paraId="4523257C" w14:textId="77777777" w:rsidR="005368BA" w:rsidRDefault="0053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06B3" w14:textId="77777777" w:rsidR="005368BA" w:rsidRDefault="005368BA">
      <w:r>
        <w:separator/>
      </w:r>
    </w:p>
    <w:p w14:paraId="27D5E2E3" w14:textId="77777777" w:rsidR="005368BA" w:rsidRDefault="005368BA"/>
  </w:footnote>
  <w:footnote w:type="continuationSeparator" w:id="0">
    <w:p w14:paraId="38694D39" w14:textId="77777777" w:rsidR="005368BA" w:rsidRDefault="005368BA">
      <w:r>
        <w:continuationSeparator/>
      </w:r>
    </w:p>
    <w:p w14:paraId="3AC44B6A" w14:textId="77777777" w:rsidR="005368BA" w:rsidRDefault="0053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F3C1E"/>
    <w:rsid w:val="000F6367"/>
    <w:rsid w:val="00100750"/>
    <w:rsid w:val="00101107"/>
    <w:rsid w:val="0010797A"/>
    <w:rsid w:val="00115004"/>
    <w:rsid w:val="001151D3"/>
    <w:rsid w:val="00115AD5"/>
    <w:rsid w:val="0012764D"/>
    <w:rsid w:val="00127B6D"/>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608"/>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D3B57"/>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68BA"/>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93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175B"/>
    <w:rsid w:val="00D47015"/>
    <w:rsid w:val="00D5081C"/>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4</cp:revision>
  <cp:lastPrinted>2021-02-24T23:35:00Z</cp:lastPrinted>
  <dcterms:created xsi:type="dcterms:W3CDTF">2021-06-17T19:22:00Z</dcterms:created>
  <dcterms:modified xsi:type="dcterms:W3CDTF">2021-06-29T23:18:00Z</dcterms:modified>
</cp:coreProperties>
</file>