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F2FB318" w:rsidR="00BC6327" w:rsidRPr="00412B2F" w:rsidRDefault="00F275D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Hope Elementary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9FB1DF5" w:rsidR="00BC6327" w:rsidRPr="00412B2F" w:rsidRDefault="00F275D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244F9DC" w:rsidR="00BC6327" w:rsidRPr="00412B2F" w:rsidRDefault="00F275D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7DA673" w:rsidR="00BC6327" w:rsidRPr="00412B2F" w:rsidRDefault="00F275D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#2, 613 W Teapot Dome Ave Porterville, CA </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2859D65" w:rsidR="00BC6327" w:rsidRPr="00412B2F" w:rsidRDefault="00F275D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F5102D7" w:rsidR="00BC6327" w:rsidRPr="00412B2F" w:rsidRDefault="00F275D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w:t>
            </w:r>
            <w:r w:rsidRPr="00F275D3">
              <w:rPr>
                <w:sz w:val="21"/>
                <w:szCs w:val="21"/>
                <w:vertAlign w:val="superscript"/>
              </w:rPr>
              <w:t>nd</w:t>
            </w:r>
            <w:r>
              <w:rPr>
                <w:sz w:val="21"/>
                <w:szCs w:val="21"/>
              </w:rPr>
              <w:t xml:space="preserve"> Wednesday of each month, 6:30 PM</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7EAC790" w:rsidR="00BC6327" w:rsidRPr="00412B2F" w:rsidRDefault="00F275D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Robert Pendola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D6BAAE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275D3">
              <w:rPr>
                <w:sz w:val="21"/>
                <w:szCs w:val="21"/>
              </w:rPr>
              <w:t>559</w:t>
            </w:r>
            <w:r w:rsidRPr="008E4080">
              <w:rPr>
                <w:sz w:val="21"/>
                <w:szCs w:val="21"/>
              </w:rPr>
              <w:t>)</w:t>
            </w:r>
            <w:r w:rsidR="00F275D3">
              <w:rPr>
                <w:sz w:val="21"/>
                <w:szCs w:val="21"/>
              </w:rPr>
              <w:t xml:space="preserve"> 784-1064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90FECE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2FFEC20" w:rsidR="00F275D3" w:rsidRPr="00F41F91" w:rsidRDefault="00F275D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F1266C9" w:rsidR="00BC6327" w:rsidRPr="00F41F91" w:rsidRDefault="00F275D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D884C8C" w14:textId="77777777" w:rsidR="008F7660" w:rsidRDefault="005540D9" w:rsidP="00383730">
            <w:pPr>
              <w:jc w:val="center"/>
              <w:rPr>
                <w:sz w:val="18"/>
                <w:szCs w:val="18"/>
              </w:rPr>
            </w:pPr>
            <w:r w:rsidRPr="00F41F91">
              <w:rPr>
                <w:sz w:val="18"/>
                <w:szCs w:val="18"/>
              </w:rPr>
              <w:t>(In the year)</w:t>
            </w:r>
          </w:p>
          <w:p w14:paraId="0F22EBDD" w14:textId="40ED5952" w:rsidR="00F275D3" w:rsidRPr="00F41F91" w:rsidRDefault="00F275D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C887D0C" w:rsidR="008F7660" w:rsidRPr="00F41F91" w:rsidRDefault="00F275D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D6387E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E61BA94" w:rsidR="00F275D3" w:rsidRPr="00F41F91" w:rsidRDefault="00F275D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63F9DCE" w:rsidR="005540D9" w:rsidRPr="00F41F91" w:rsidRDefault="00F275D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A238B10" w:rsidR="00B44817" w:rsidRPr="00F41F91" w:rsidRDefault="00F275D3" w:rsidP="00D057C3">
            <w:pPr>
              <w:jc w:val="center"/>
              <w:rPr>
                <w:sz w:val="18"/>
              </w:rPr>
            </w:pPr>
            <w:r>
              <w:rPr>
                <w:sz w:val="18"/>
              </w:rPr>
              <w:t>9/28/18</w:t>
            </w:r>
          </w:p>
        </w:tc>
        <w:tc>
          <w:tcPr>
            <w:tcW w:w="991" w:type="dxa"/>
            <w:gridSpan w:val="2"/>
            <w:tcBorders>
              <w:top w:val="nil"/>
            </w:tcBorders>
          </w:tcPr>
          <w:p w14:paraId="2EB76238" w14:textId="109AA81A" w:rsidR="00B44817" w:rsidRPr="00F41F91" w:rsidRDefault="00F275D3" w:rsidP="00D057C3">
            <w:pPr>
              <w:jc w:val="center"/>
              <w:rPr>
                <w:sz w:val="18"/>
              </w:rPr>
            </w:pPr>
            <w:r>
              <w:rPr>
                <w:sz w:val="18"/>
              </w:rPr>
              <w:t>5</w:t>
            </w:r>
          </w:p>
        </w:tc>
        <w:tc>
          <w:tcPr>
            <w:tcW w:w="990" w:type="dxa"/>
            <w:gridSpan w:val="2"/>
            <w:tcBorders>
              <w:top w:val="nil"/>
              <w:bottom w:val="nil"/>
            </w:tcBorders>
          </w:tcPr>
          <w:p w14:paraId="4C3FDB54" w14:textId="182FA545" w:rsidR="00B44817" w:rsidRPr="00F41F91" w:rsidRDefault="00F275D3" w:rsidP="00D057C3">
            <w:pPr>
              <w:jc w:val="center"/>
              <w:rPr>
                <w:sz w:val="18"/>
              </w:rPr>
            </w:pPr>
            <w:r>
              <w:rPr>
                <w:sz w:val="18"/>
              </w:rPr>
              <w:t>0</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275D3">
        <w:trPr>
          <w:jc w:val="center"/>
        </w:trPr>
        <w:tc>
          <w:tcPr>
            <w:tcW w:w="2241" w:type="dxa"/>
            <w:tcBorders>
              <w:left w:val="single" w:sz="6"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Pr>
          <w:p w14:paraId="192E15A5" w14:textId="2F3C0D75" w:rsidR="00B44817" w:rsidRPr="00F41F91" w:rsidRDefault="00F275D3" w:rsidP="00D057C3">
            <w:pPr>
              <w:jc w:val="center"/>
              <w:rPr>
                <w:sz w:val="18"/>
              </w:rPr>
            </w:pPr>
            <w:r>
              <w:rPr>
                <w:sz w:val="18"/>
              </w:rPr>
              <w:t>9/28/18</w:t>
            </w:r>
          </w:p>
        </w:tc>
        <w:tc>
          <w:tcPr>
            <w:tcW w:w="991" w:type="dxa"/>
            <w:gridSpan w:val="2"/>
          </w:tcPr>
          <w:p w14:paraId="18011756" w14:textId="7B8AACB9" w:rsidR="00B44817" w:rsidRPr="00F41F91" w:rsidRDefault="00F275D3" w:rsidP="00D057C3">
            <w:pPr>
              <w:jc w:val="center"/>
              <w:rPr>
                <w:sz w:val="18"/>
              </w:rPr>
            </w:pPr>
            <w:r>
              <w:rPr>
                <w:sz w:val="18"/>
              </w:rPr>
              <w:t>5</w:t>
            </w:r>
          </w:p>
        </w:tc>
        <w:tc>
          <w:tcPr>
            <w:tcW w:w="990" w:type="dxa"/>
            <w:gridSpan w:val="2"/>
          </w:tcPr>
          <w:p w14:paraId="7CE90126" w14:textId="627F3EFE" w:rsidR="00B44817" w:rsidRPr="00F41F91" w:rsidRDefault="00F275D3" w:rsidP="00D057C3">
            <w:pPr>
              <w:jc w:val="center"/>
              <w:rPr>
                <w:sz w:val="18"/>
              </w:rPr>
            </w:pPr>
            <w:r>
              <w:rPr>
                <w:sz w:val="18"/>
              </w:rPr>
              <w:t>.545</w:t>
            </w:r>
          </w:p>
        </w:tc>
        <w:tc>
          <w:tcPr>
            <w:tcW w:w="1080" w:type="dxa"/>
          </w:tcPr>
          <w:p w14:paraId="11DE16E1" w14:textId="77777777" w:rsidR="00B44817" w:rsidRPr="00F41F91" w:rsidRDefault="00B44817" w:rsidP="00D057C3">
            <w:pPr>
              <w:jc w:val="center"/>
              <w:rPr>
                <w:sz w:val="18"/>
              </w:rPr>
            </w:pPr>
          </w:p>
        </w:tc>
        <w:tc>
          <w:tcPr>
            <w:tcW w:w="677" w:type="dxa"/>
          </w:tcPr>
          <w:p w14:paraId="102063D3" w14:textId="77777777" w:rsidR="00B44817" w:rsidRPr="00F41F91" w:rsidRDefault="00B44817" w:rsidP="00D057C3">
            <w:pPr>
              <w:jc w:val="center"/>
              <w:rPr>
                <w:sz w:val="18"/>
              </w:rPr>
            </w:pPr>
            <w:r w:rsidRPr="00F41F91">
              <w:rPr>
                <w:sz w:val="18"/>
              </w:rPr>
              <w:t>1.3</w:t>
            </w:r>
          </w:p>
        </w:tc>
        <w:tc>
          <w:tcPr>
            <w:tcW w:w="677" w:type="dxa"/>
          </w:tcPr>
          <w:p w14:paraId="45A23DF7" w14:textId="77777777" w:rsidR="00B44817" w:rsidRPr="00F41F91" w:rsidRDefault="00B44817" w:rsidP="00D057C3">
            <w:pPr>
              <w:jc w:val="center"/>
              <w:rPr>
                <w:sz w:val="18"/>
              </w:rPr>
            </w:pPr>
            <w:r w:rsidRPr="00F41F91">
              <w:rPr>
                <w:sz w:val="18"/>
              </w:rPr>
              <w:t>0.3</w:t>
            </w:r>
          </w:p>
        </w:tc>
        <w:tc>
          <w:tcPr>
            <w:tcW w:w="1260" w:type="dxa"/>
            <w:gridSpan w:val="2"/>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F275D3" w:rsidRPr="001F3468" w14:paraId="50009B1F" w14:textId="77777777" w:rsidTr="002F1DD3">
        <w:trPr>
          <w:jc w:val="center"/>
        </w:trPr>
        <w:tc>
          <w:tcPr>
            <w:tcW w:w="2241" w:type="dxa"/>
            <w:tcBorders>
              <w:left w:val="single" w:sz="6" w:space="0" w:color="auto"/>
              <w:bottom w:val="single" w:sz="18" w:space="0" w:color="auto"/>
            </w:tcBorders>
          </w:tcPr>
          <w:p w14:paraId="45E3C1B4" w14:textId="77777777" w:rsidR="00F275D3" w:rsidRPr="00F41F91" w:rsidRDefault="00F275D3" w:rsidP="00D057C3">
            <w:pPr>
              <w:rPr>
                <w:sz w:val="18"/>
              </w:rPr>
            </w:pPr>
          </w:p>
        </w:tc>
        <w:tc>
          <w:tcPr>
            <w:tcW w:w="810" w:type="dxa"/>
            <w:gridSpan w:val="2"/>
            <w:tcBorders>
              <w:bottom w:val="single" w:sz="18" w:space="0" w:color="auto"/>
            </w:tcBorders>
          </w:tcPr>
          <w:p w14:paraId="4D8B0163" w14:textId="77777777" w:rsidR="00F275D3" w:rsidRDefault="00F275D3" w:rsidP="00D057C3">
            <w:pPr>
              <w:jc w:val="center"/>
              <w:rPr>
                <w:sz w:val="18"/>
              </w:rPr>
            </w:pPr>
          </w:p>
        </w:tc>
        <w:tc>
          <w:tcPr>
            <w:tcW w:w="991" w:type="dxa"/>
            <w:gridSpan w:val="2"/>
            <w:tcBorders>
              <w:bottom w:val="single" w:sz="18" w:space="0" w:color="auto"/>
            </w:tcBorders>
          </w:tcPr>
          <w:p w14:paraId="68C11B7D" w14:textId="77777777" w:rsidR="00F275D3" w:rsidRDefault="00F275D3" w:rsidP="00D057C3">
            <w:pPr>
              <w:jc w:val="center"/>
              <w:rPr>
                <w:sz w:val="18"/>
              </w:rPr>
            </w:pPr>
          </w:p>
        </w:tc>
        <w:tc>
          <w:tcPr>
            <w:tcW w:w="990" w:type="dxa"/>
            <w:gridSpan w:val="2"/>
            <w:tcBorders>
              <w:bottom w:val="single" w:sz="18" w:space="0" w:color="auto"/>
            </w:tcBorders>
          </w:tcPr>
          <w:p w14:paraId="53487329" w14:textId="77777777" w:rsidR="00F275D3" w:rsidRDefault="00F275D3" w:rsidP="00D057C3">
            <w:pPr>
              <w:jc w:val="center"/>
              <w:rPr>
                <w:sz w:val="18"/>
              </w:rPr>
            </w:pPr>
          </w:p>
        </w:tc>
        <w:tc>
          <w:tcPr>
            <w:tcW w:w="1080" w:type="dxa"/>
            <w:tcBorders>
              <w:bottom w:val="single" w:sz="18" w:space="0" w:color="auto"/>
            </w:tcBorders>
          </w:tcPr>
          <w:p w14:paraId="1D76C330" w14:textId="77777777" w:rsidR="00F275D3" w:rsidRPr="00F41F91" w:rsidRDefault="00F275D3" w:rsidP="00D057C3">
            <w:pPr>
              <w:jc w:val="center"/>
              <w:rPr>
                <w:sz w:val="18"/>
              </w:rPr>
            </w:pPr>
          </w:p>
        </w:tc>
        <w:tc>
          <w:tcPr>
            <w:tcW w:w="677" w:type="dxa"/>
            <w:tcBorders>
              <w:bottom w:val="single" w:sz="18" w:space="0" w:color="auto"/>
            </w:tcBorders>
          </w:tcPr>
          <w:p w14:paraId="702AD35D" w14:textId="77777777" w:rsidR="00F275D3" w:rsidRPr="00F41F91" w:rsidRDefault="00F275D3" w:rsidP="00D057C3">
            <w:pPr>
              <w:jc w:val="center"/>
              <w:rPr>
                <w:sz w:val="18"/>
              </w:rPr>
            </w:pPr>
          </w:p>
        </w:tc>
        <w:tc>
          <w:tcPr>
            <w:tcW w:w="677" w:type="dxa"/>
            <w:tcBorders>
              <w:bottom w:val="single" w:sz="18" w:space="0" w:color="auto"/>
            </w:tcBorders>
          </w:tcPr>
          <w:p w14:paraId="35FB8934" w14:textId="77777777" w:rsidR="00F275D3" w:rsidRPr="00F41F91" w:rsidRDefault="00F275D3" w:rsidP="00D057C3">
            <w:pPr>
              <w:jc w:val="center"/>
              <w:rPr>
                <w:sz w:val="18"/>
              </w:rPr>
            </w:pPr>
          </w:p>
        </w:tc>
        <w:tc>
          <w:tcPr>
            <w:tcW w:w="1260" w:type="dxa"/>
            <w:gridSpan w:val="2"/>
            <w:tcBorders>
              <w:bottom w:val="single" w:sz="18" w:space="0" w:color="auto"/>
            </w:tcBorders>
          </w:tcPr>
          <w:p w14:paraId="0DCB5175" w14:textId="77777777" w:rsidR="00F275D3" w:rsidRPr="00F41F91" w:rsidRDefault="00F275D3" w:rsidP="00B44817">
            <w:pPr>
              <w:jc w:val="center"/>
              <w:rPr>
                <w:sz w:val="17"/>
                <w:szCs w:val="16"/>
              </w:rPr>
            </w:pPr>
          </w:p>
        </w:tc>
        <w:tc>
          <w:tcPr>
            <w:tcW w:w="2070" w:type="dxa"/>
            <w:tcBorders>
              <w:bottom w:val="single" w:sz="18" w:space="0" w:color="auto"/>
              <w:right w:val="single" w:sz="6" w:space="0" w:color="auto"/>
            </w:tcBorders>
          </w:tcPr>
          <w:p w14:paraId="4C00A682" w14:textId="77777777" w:rsidR="00F275D3" w:rsidRPr="00F41F91" w:rsidRDefault="00F275D3" w:rsidP="00D057C3">
            <w:pPr>
              <w:rPr>
                <w:sz w:val="17"/>
                <w:szCs w:val="16"/>
              </w:rPr>
            </w:pP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FF09319" w:rsidR="00B3023D" w:rsidRPr="00F41F91" w:rsidRDefault="00F275D3" w:rsidP="009C6436">
            <w:pPr>
              <w:jc w:val="center"/>
              <w:rPr>
                <w:sz w:val="18"/>
              </w:rPr>
            </w:pPr>
            <w:r>
              <w:rPr>
                <w:sz w:val="18"/>
              </w:rPr>
              <w:t>5/22/19</w:t>
            </w:r>
          </w:p>
        </w:tc>
        <w:tc>
          <w:tcPr>
            <w:tcW w:w="1350" w:type="dxa"/>
            <w:tcBorders>
              <w:top w:val="nil"/>
              <w:bottom w:val="single" w:sz="4" w:space="0" w:color="auto"/>
            </w:tcBorders>
          </w:tcPr>
          <w:p w14:paraId="690B0D1C" w14:textId="751D87CC" w:rsidR="00B3023D" w:rsidRPr="00F41F91" w:rsidRDefault="00F275D3" w:rsidP="009C6436">
            <w:pPr>
              <w:jc w:val="center"/>
              <w:rPr>
                <w:sz w:val="18"/>
              </w:rPr>
            </w:pPr>
            <w:r>
              <w:rPr>
                <w:sz w:val="18"/>
              </w:rPr>
              <w:t>57</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00E5695" w:rsidR="00B3023D" w:rsidRPr="00F41F91" w:rsidRDefault="00F275D3" w:rsidP="009C6436">
            <w:pPr>
              <w:jc w:val="center"/>
              <w:rPr>
                <w:sz w:val="18"/>
              </w:rPr>
            </w:pPr>
            <w:r>
              <w:rPr>
                <w:sz w:val="18"/>
              </w:rPr>
              <w:t>5/22/19</w:t>
            </w:r>
          </w:p>
        </w:tc>
        <w:tc>
          <w:tcPr>
            <w:tcW w:w="1350" w:type="dxa"/>
            <w:tcBorders>
              <w:bottom w:val="single" w:sz="18" w:space="0" w:color="auto"/>
            </w:tcBorders>
          </w:tcPr>
          <w:p w14:paraId="5F571C45" w14:textId="50798695" w:rsidR="00B3023D" w:rsidRPr="00F41F91" w:rsidRDefault="00F275D3" w:rsidP="009C6436">
            <w:pPr>
              <w:jc w:val="center"/>
              <w:rPr>
                <w:sz w:val="18"/>
              </w:rPr>
            </w:pPr>
            <w:r>
              <w:rPr>
                <w:sz w:val="18"/>
              </w:rPr>
              <w:t>182</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1903F44C" w14:textId="77777777" w:rsidR="00BC6327" w:rsidRDefault="00F275D3" w:rsidP="00D057C3">
            <w:pPr>
              <w:ind w:left="180"/>
              <w:rPr>
                <w:sz w:val="18"/>
              </w:rPr>
            </w:pPr>
            <w:r>
              <w:rPr>
                <w:sz w:val="18"/>
              </w:rPr>
              <w:t>Nitrate (ppm)</w:t>
            </w:r>
          </w:p>
          <w:p w14:paraId="2292BFFE" w14:textId="77777777" w:rsidR="002771F2" w:rsidRDefault="002771F2" w:rsidP="00D057C3">
            <w:pPr>
              <w:ind w:left="180"/>
              <w:rPr>
                <w:sz w:val="18"/>
              </w:rPr>
            </w:pPr>
          </w:p>
          <w:p w14:paraId="056DC6E8" w14:textId="77777777" w:rsidR="002771F2" w:rsidRDefault="002771F2" w:rsidP="00D057C3">
            <w:pPr>
              <w:ind w:left="180"/>
              <w:rPr>
                <w:sz w:val="18"/>
              </w:rPr>
            </w:pPr>
          </w:p>
          <w:p w14:paraId="0D5FACF3" w14:textId="77777777" w:rsidR="002771F2" w:rsidRDefault="002771F2" w:rsidP="00D057C3">
            <w:pPr>
              <w:ind w:left="180"/>
              <w:rPr>
                <w:sz w:val="18"/>
              </w:rPr>
            </w:pPr>
          </w:p>
          <w:p w14:paraId="40E2F254" w14:textId="47047AC0" w:rsidR="002771F2" w:rsidRPr="00F41F91" w:rsidRDefault="002771F2" w:rsidP="00D057C3">
            <w:pPr>
              <w:ind w:left="180"/>
              <w:rPr>
                <w:sz w:val="18"/>
              </w:rPr>
            </w:pPr>
            <w:r>
              <w:rPr>
                <w:sz w:val="18"/>
              </w:rPr>
              <w:t>Arsenic (ppb)</w:t>
            </w:r>
          </w:p>
        </w:tc>
        <w:tc>
          <w:tcPr>
            <w:tcW w:w="990" w:type="dxa"/>
            <w:tcBorders>
              <w:top w:val="nil"/>
            </w:tcBorders>
          </w:tcPr>
          <w:p w14:paraId="3FD923DA" w14:textId="77777777" w:rsidR="00BC6327" w:rsidRDefault="00F275D3" w:rsidP="00D057C3">
            <w:pPr>
              <w:jc w:val="center"/>
              <w:rPr>
                <w:sz w:val="18"/>
              </w:rPr>
            </w:pPr>
            <w:r>
              <w:rPr>
                <w:sz w:val="18"/>
              </w:rPr>
              <w:t>Quarterly</w:t>
            </w:r>
          </w:p>
          <w:p w14:paraId="49A8F6F1" w14:textId="77777777" w:rsidR="002771F2" w:rsidRDefault="002771F2" w:rsidP="00D057C3">
            <w:pPr>
              <w:jc w:val="center"/>
              <w:rPr>
                <w:sz w:val="18"/>
              </w:rPr>
            </w:pPr>
          </w:p>
          <w:p w14:paraId="5DC56FC6" w14:textId="77777777" w:rsidR="002771F2" w:rsidRDefault="002771F2" w:rsidP="00D057C3">
            <w:pPr>
              <w:jc w:val="center"/>
              <w:rPr>
                <w:sz w:val="18"/>
              </w:rPr>
            </w:pPr>
          </w:p>
          <w:p w14:paraId="00F52557" w14:textId="77777777" w:rsidR="002771F2" w:rsidRDefault="002771F2" w:rsidP="00D057C3">
            <w:pPr>
              <w:jc w:val="center"/>
              <w:rPr>
                <w:sz w:val="18"/>
              </w:rPr>
            </w:pPr>
          </w:p>
          <w:p w14:paraId="5D776A03" w14:textId="7996C878" w:rsidR="002771F2" w:rsidRPr="00F41F91" w:rsidRDefault="002771F2" w:rsidP="00D057C3">
            <w:pPr>
              <w:jc w:val="center"/>
              <w:rPr>
                <w:sz w:val="18"/>
              </w:rPr>
            </w:pPr>
            <w:r>
              <w:rPr>
                <w:sz w:val="18"/>
              </w:rPr>
              <w:t>5/22/19</w:t>
            </w:r>
          </w:p>
        </w:tc>
        <w:tc>
          <w:tcPr>
            <w:tcW w:w="1350" w:type="dxa"/>
            <w:tcBorders>
              <w:top w:val="nil"/>
            </w:tcBorders>
          </w:tcPr>
          <w:p w14:paraId="0D9A5361" w14:textId="77777777" w:rsidR="00BC6327" w:rsidRDefault="002771F2" w:rsidP="00D057C3">
            <w:pPr>
              <w:jc w:val="center"/>
              <w:rPr>
                <w:sz w:val="18"/>
              </w:rPr>
            </w:pPr>
            <w:r>
              <w:rPr>
                <w:sz w:val="18"/>
              </w:rPr>
              <w:t>9.6</w:t>
            </w:r>
          </w:p>
          <w:p w14:paraId="076A6C0C" w14:textId="77777777" w:rsidR="002771F2" w:rsidRDefault="002771F2" w:rsidP="00D057C3">
            <w:pPr>
              <w:jc w:val="center"/>
              <w:rPr>
                <w:sz w:val="18"/>
              </w:rPr>
            </w:pPr>
          </w:p>
          <w:p w14:paraId="0E9B9229" w14:textId="77777777" w:rsidR="002771F2" w:rsidRDefault="002771F2" w:rsidP="00D057C3">
            <w:pPr>
              <w:jc w:val="center"/>
              <w:rPr>
                <w:sz w:val="18"/>
              </w:rPr>
            </w:pPr>
          </w:p>
          <w:p w14:paraId="7CA5B72F" w14:textId="77777777" w:rsidR="002771F2" w:rsidRDefault="002771F2" w:rsidP="00D057C3">
            <w:pPr>
              <w:jc w:val="center"/>
              <w:rPr>
                <w:sz w:val="18"/>
              </w:rPr>
            </w:pPr>
          </w:p>
          <w:p w14:paraId="492AEBB3" w14:textId="7C717125" w:rsidR="002771F2" w:rsidRPr="00F41F91" w:rsidRDefault="002771F2" w:rsidP="00D057C3">
            <w:pPr>
              <w:jc w:val="center"/>
              <w:rPr>
                <w:sz w:val="18"/>
              </w:rPr>
            </w:pPr>
            <w:r>
              <w:rPr>
                <w:sz w:val="18"/>
              </w:rPr>
              <w:t>2</w:t>
            </w:r>
          </w:p>
        </w:tc>
        <w:tc>
          <w:tcPr>
            <w:tcW w:w="1440" w:type="dxa"/>
            <w:tcBorders>
              <w:top w:val="nil"/>
            </w:tcBorders>
          </w:tcPr>
          <w:p w14:paraId="753F4C7B" w14:textId="77777777" w:rsidR="00BC6327" w:rsidRDefault="002771F2" w:rsidP="00D057C3">
            <w:pPr>
              <w:jc w:val="center"/>
              <w:rPr>
                <w:sz w:val="18"/>
              </w:rPr>
            </w:pPr>
            <w:r>
              <w:rPr>
                <w:sz w:val="18"/>
              </w:rPr>
              <w:t>9.7-12</w:t>
            </w:r>
          </w:p>
          <w:p w14:paraId="1AB73B14" w14:textId="77777777" w:rsidR="002771F2" w:rsidRDefault="002771F2" w:rsidP="00D057C3">
            <w:pPr>
              <w:jc w:val="center"/>
              <w:rPr>
                <w:sz w:val="18"/>
              </w:rPr>
            </w:pPr>
          </w:p>
          <w:p w14:paraId="0B225746" w14:textId="77777777" w:rsidR="002771F2" w:rsidRDefault="002771F2" w:rsidP="00D057C3">
            <w:pPr>
              <w:jc w:val="center"/>
              <w:rPr>
                <w:sz w:val="18"/>
              </w:rPr>
            </w:pPr>
          </w:p>
          <w:p w14:paraId="66EA350E" w14:textId="77777777" w:rsidR="002771F2" w:rsidRDefault="002771F2" w:rsidP="00D057C3">
            <w:pPr>
              <w:jc w:val="center"/>
              <w:rPr>
                <w:sz w:val="18"/>
              </w:rPr>
            </w:pPr>
          </w:p>
          <w:p w14:paraId="0EA1207A" w14:textId="3F7AD92C" w:rsidR="002771F2" w:rsidRPr="00F41F91" w:rsidRDefault="002771F2" w:rsidP="00D057C3">
            <w:pPr>
              <w:jc w:val="center"/>
              <w:rPr>
                <w:sz w:val="18"/>
              </w:rPr>
            </w:pPr>
          </w:p>
        </w:tc>
        <w:tc>
          <w:tcPr>
            <w:tcW w:w="900" w:type="dxa"/>
            <w:tcBorders>
              <w:top w:val="nil"/>
            </w:tcBorders>
          </w:tcPr>
          <w:p w14:paraId="6B830644" w14:textId="77777777" w:rsidR="00BC6327" w:rsidRDefault="002771F2" w:rsidP="00D057C3">
            <w:pPr>
              <w:jc w:val="center"/>
              <w:rPr>
                <w:sz w:val="18"/>
              </w:rPr>
            </w:pPr>
            <w:r>
              <w:rPr>
                <w:sz w:val="18"/>
              </w:rPr>
              <w:t>45</w:t>
            </w:r>
          </w:p>
          <w:p w14:paraId="7EFEEA95" w14:textId="77777777" w:rsidR="002771F2" w:rsidRDefault="002771F2" w:rsidP="00D057C3">
            <w:pPr>
              <w:jc w:val="center"/>
              <w:rPr>
                <w:sz w:val="18"/>
              </w:rPr>
            </w:pPr>
          </w:p>
          <w:p w14:paraId="3365F72D" w14:textId="77777777" w:rsidR="002771F2" w:rsidRDefault="002771F2" w:rsidP="00D057C3">
            <w:pPr>
              <w:jc w:val="center"/>
              <w:rPr>
                <w:sz w:val="18"/>
              </w:rPr>
            </w:pPr>
          </w:p>
          <w:p w14:paraId="4579C69E" w14:textId="77777777" w:rsidR="002771F2" w:rsidRDefault="002771F2" w:rsidP="00D057C3">
            <w:pPr>
              <w:jc w:val="center"/>
              <w:rPr>
                <w:sz w:val="18"/>
              </w:rPr>
            </w:pPr>
          </w:p>
          <w:p w14:paraId="566791C1" w14:textId="11B0D104" w:rsidR="002771F2" w:rsidRPr="00F41F91" w:rsidRDefault="002771F2" w:rsidP="00D057C3">
            <w:pPr>
              <w:jc w:val="center"/>
              <w:rPr>
                <w:sz w:val="18"/>
              </w:rPr>
            </w:pPr>
            <w:r>
              <w:rPr>
                <w:sz w:val="18"/>
              </w:rPr>
              <w:t>10</w:t>
            </w:r>
          </w:p>
        </w:tc>
        <w:tc>
          <w:tcPr>
            <w:tcW w:w="1080" w:type="dxa"/>
            <w:tcBorders>
              <w:top w:val="nil"/>
            </w:tcBorders>
          </w:tcPr>
          <w:p w14:paraId="465426C9" w14:textId="77777777" w:rsidR="00BC6327" w:rsidRDefault="002771F2" w:rsidP="00D057C3">
            <w:pPr>
              <w:jc w:val="center"/>
              <w:rPr>
                <w:sz w:val="18"/>
              </w:rPr>
            </w:pPr>
            <w:r>
              <w:rPr>
                <w:sz w:val="18"/>
              </w:rPr>
              <w:t>45</w:t>
            </w:r>
          </w:p>
          <w:p w14:paraId="0EFE5D79" w14:textId="77777777" w:rsidR="002771F2" w:rsidRDefault="002771F2" w:rsidP="00D057C3">
            <w:pPr>
              <w:jc w:val="center"/>
              <w:rPr>
                <w:sz w:val="18"/>
              </w:rPr>
            </w:pPr>
          </w:p>
          <w:p w14:paraId="7DF846DA" w14:textId="77777777" w:rsidR="002771F2" w:rsidRDefault="002771F2" w:rsidP="00D057C3">
            <w:pPr>
              <w:jc w:val="center"/>
              <w:rPr>
                <w:sz w:val="18"/>
              </w:rPr>
            </w:pPr>
          </w:p>
          <w:p w14:paraId="303669DB" w14:textId="77777777" w:rsidR="002771F2" w:rsidRDefault="002771F2" w:rsidP="00D057C3">
            <w:pPr>
              <w:jc w:val="center"/>
              <w:rPr>
                <w:sz w:val="18"/>
              </w:rPr>
            </w:pPr>
          </w:p>
          <w:p w14:paraId="5E4F841C" w14:textId="62F63D7F" w:rsidR="002771F2" w:rsidRPr="00F41F91" w:rsidRDefault="002771F2" w:rsidP="00D057C3">
            <w:pPr>
              <w:jc w:val="center"/>
              <w:rPr>
                <w:sz w:val="18"/>
              </w:rPr>
            </w:pPr>
            <w:r>
              <w:rPr>
                <w:sz w:val="18"/>
              </w:rPr>
              <w:t>.004</w:t>
            </w:r>
          </w:p>
        </w:tc>
        <w:tc>
          <w:tcPr>
            <w:tcW w:w="2808" w:type="dxa"/>
            <w:tcBorders>
              <w:top w:val="nil"/>
              <w:right w:val="single" w:sz="6" w:space="0" w:color="auto"/>
            </w:tcBorders>
          </w:tcPr>
          <w:p w14:paraId="37AD8F64" w14:textId="77777777" w:rsidR="00BC6327" w:rsidRDefault="002771F2" w:rsidP="00D057C3">
            <w:pPr>
              <w:rPr>
                <w:sz w:val="18"/>
              </w:rPr>
            </w:pPr>
            <w:r>
              <w:rPr>
                <w:sz w:val="18"/>
              </w:rPr>
              <w:t>Runoff and leaching from fertilizer use; leaching from septic tanks and sewage erosion of natural deposits</w:t>
            </w:r>
          </w:p>
          <w:p w14:paraId="2033EF26" w14:textId="77777777" w:rsidR="002771F2" w:rsidRDefault="002771F2" w:rsidP="00D057C3">
            <w:pPr>
              <w:rPr>
                <w:sz w:val="18"/>
              </w:rPr>
            </w:pPr>
          </w:p>
          <w:p w14:paraId="2B8C0EB3" w14:textId="5A76B3A9" w:rsidR="002771F2" w:rsidRPr="00F41F91" w:rsidRDefault="002771F2" w:rsidP="00D057C3">
            <w:pPr>
              <w:rPr>
                <w:sz w:val="18"/>
              </w:rPr>
            </w:pPr>
            <w:r>
              <w:rPr>
                <w:sz w:val="18"/>
              </w:rPr>
              <w:t>Erosion of natural deposits; runoff from orchard glass and electronics productions waste</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496196E0" w14:textId="77777777" w:rsidR="00BC6327" w:rsidRDefault="002771F2" w:rsidP="00D057C3">
            <w:pPr>
              <w:ind w:left="180"/>
              <w:rPr>
                <w:sz w:val="18"/>
              </w:rPr>
            </w:pPr>
            <w:r>
              <w:rPr>
                <w:sz w:val="18"/>
              </w:rPr>
              <w:t>Barium (ppb)</w:t>
            </w:r>
          </w:p>
          <w:p w14:paraId="70E343A7" w14:textId="77777777" w:rsidR="002771F2" w:rsidRDefault="002771F2" w:rsidP="00D057C3">
            <w:pPr>
              <w:ind w:left="180"/>
              <w:rPr>
                <w:sz w:val="18"/>
              </w:rPr>
            </w:pPr>
          </w:p>
          <w:p w14:paraId="019E6A3C" w14:textId="77777777" w:rsidR="002771F2" w:rsidRDefault="002771F2" w:rsidP="00D057C3">
            <w:pPr>
              <w:ind w:left="180"/>
              <w:rPr>
                <w:sz w:val="18"/>
              </w:rPr>
            </w:pPr>
          </w:p>
          <w:p w14:paraId="61E8D8CC" w14:textId="72AFD26B" w:rsidR="002771F2" w:rsidRPr="00F41F91" w:rsidRDefault="002771F2" w:rsidP="00D057C3">
            <w:pPr>
              <w:ind w:left="180"/>
              <w:rPr>
                <w:sz w:val="18"/>
              </w:rPr>
            </w:pPr>
            <w:r>
              <w:rPr>
                <w:sz w:val="18"/>
              </w:rPr>
              <w:t>Chromium (ppb)</w:t>
            </w:r>
          </w:p>
        </w:tc>
        <w:tc>
          <w:tcPr>
            <w:tcW w:w="990" w:type="dxa"/>
            <w:tcBorders>
              <w:bottom w:val="single" w:sz="18" w:space="0" w:color="auto"/>
            </w:tcBorders>
          </w:tcPr>
          <w:p w14:paraId="19DAE8B6" w14:textId="77777777" w:rsidR="00BC6327" w:rsidRDefault="002771F2" w:rsidP="00D057C3">
            <w:pPr>
              <w:jc w:val="center"/>
              <w:rPr>
                <w:sz w:val="18"/>
              </w:rPr>
            </w:pPr>
            <w:r>
              <w:rPr>
                <w:sz w:val="18"/>
              </w:rPr>
              <w:t>5/22/19</w:t>
            </w:r>
          </w:p>
          <w:p w14:paraId="6E3982AD" w14:textId="77777777" w:rsidR="002771F2" w:rsidRDefault="002771F2" w:rsidP="00D057C3">
            <w:pPr>
              <w:jc w:val="center"/>
              <w:rPr>
                <w:sz w:val="18"/>
              </w:rPr>
            </w:pPr>
          </w:p>
          <w:p w14:paraId="3A5D13AE" w14:textId="77777777" w:rsidR="002771F2" w:rsidRDefault="002771F2" w:rsidP="00D057C3">
            <w:pPr>
              <w:jc w:val="center"/>
              <w:rPr>
                <w:sz w:val="18"/>
              </w:rPr>
            </w:pPr>
          </w:p>
          <w:p w14:paraId="3CD1FB67" w14:textId="08C6A123" w:rsidR="002771F2" w:rsidRPr="00F41F91" w:rsidRDefault="002771F2" w:rsidP="00D057C3">
            <w:pPr>
              <w:jc w:val="center"/>
              <w:rPr>
                <w:sz w:val="18"/>
              </w:rPr>
            </w:pPr>
            <w:r>
              <w:rPr>
                <w:sz w:val="18"/>
              </w:rPr>
              <w:t>5/22/19</w:t>
            </w:r>
          </w:p>
        </w:tc>
        <w:tc>
          <w:tcPr>
            <w:tcW w:w="1350" w:type="dxa"/>
            <w:tcBorders>
              <w:bottom w:val="single" w:sz="18" w:space="0" w:color="auto"/>
            </w:tcBorders>
          </w:tcPr>
          <w:p w14:paraId="22F2B786" w14:textId="77777777" w:rsidR="00BC6327" w:rsidRDefault="002771F2" w:rsidP="00D057C3">
            <w:pPr>
              <w:jc w:val="center"/>
              <w:rPr>
                <w:sz w:val="18"/>
              </w:rPr>
            </w:pPr>
            <w:r>
              <w:rPr>
                <w:sz w:val="18"/>
              </w:rPr>
              <w:t>100</w:t>
            </w:r>
          </w:p>
          <w:p w14:paraId="02F5920E" w14:textId="77777777" w:rsidR="002771F2" w:rsidRDefault="002771F2" w:rsidP="00D057C3">
            <w:pPr>
              <w:jc w:val="center"/>
              <w:rPr>
                <w:sz w:val="18"/>
              </w:rPr>
            </w:pPr>
          </w:p>
          <w:p w14:paraId="2E758EB9" w14:textId="77777777" w:rsidR="002771F2" w:rsidRDefault="002771F2" w:rsidP="00D057C3">
            <w:pPr>
              <w:jc w:val="center"/>
              <w:rPr>
                <w:sz w:val="18"/>
              </w:rPr>
            </w:pPr>
          </w:p>
          <w:p w14:paraId="5EA66A78" w14:textId="0820D556" w:rsidR="002771F2" w:rsidRPr="00F41F91" w:rsidRDefault="002771F2" w:rsidP="00D057C3">
            <w:pPr>
              <w:jc w:val="center"/>
              <w:rPr>
                <w:sz w:val="18"/>
              </w:rPr>
            </w:pPr>
            <w:r>
              <w:rPr>
                <w:sz w:val="18"/>
              </w:rPr>
              <w:t>10</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612C500" w14:textId="77777777" w:rsidR="00BC6327" w:rsidRDefault="002771F2" w:rsidP="00D057C3">
            <w:pPr>
              <w:jc w:val="center"/>
              <w:rPr>
                <w:sz w:val="18"/>
              </w:rPr>
            </w:pPr>
            <w:r>
              <w:rPr>
                <w:sz w:val="18"/>
              </w:rPr>
              <w:t>1000</w:t>
            </w:r>
          </w:p>
          <w:p w14:paraId="313E9729" w14:textId="77777777" w:rsidR="002771F2" w:rsidRDefault="002771F2" w:rsidP="00D057C3">
            <w:pPr>
              <w:jc w:val="center"/>
              <w:rPr>
                <w:sz w:val="18"/>
              </w:rPr>
            </w:pPr>
          </w:p>
          <w:p w14:paraId="482CB7F5" w14:textId="77777777" w:rsidR="002771F2" w:rsidRDefault="002771F2" w:rsidP="00D057C3">
            <w:pPr>
              <w:jc w:val="center"/>
              <w:rPr>
                <w:sz w:val="18"/>
              </w:rPr>
            </w:pPr>
          </w:p>
          <w:p w14:paraId="4DF396D0" w14:textId="0D1BC249" w:rsidR="002771F2" w:rsidRPr="00F41F91" w:rsidRDefault="002771F2" w:rsidP="00D057C3">
            <w:pPr>
              <w:jc w:val="center"/>
              <w:rPr>
                <w:sz w:val="18"/>
              </w:rPr>
            </w:pPr>
            <w:r>
              <w:rPr>
                <w:sz w:val="18"/>
              </w:rPr>
              <w:t>50</w:t>
            </w:r>
          </w:p>
        </w:tc>
        <w:tc>
          <w:tcPr>
            <w:tcW w:w="1080" w:type="dxa"/>
            <w:tcBorders>
              <w:bottom w:val="single" w:sz="18" w:space="0" w:color="auto"/>
            </w:tcBorders>
          </w:tcPr>
          <w:p w14:paraId="42D6659D" w14:textId="77777777" w:rsidR="00BC6327" w:rsidRDefault="002771F2" w:rsidP="00D057C3">
            <w:pPr>
              <w:jc w:val="center"/>
              <w:rPr>
                <w:sz w:val="18"/>
              </w:rPr>
            </w:pPr>
            <w:r>
              <w:rPr>
                <w:sz w:val="18"/>
              </w:rPr>
              <w:t>2000</w:t>
            </w:r>
          </w:p>
          <w:p w14:paraId="7D23BDAE" w14:textId="77777777" w:rsidR="002771F2" w:rsidRDefault="002771F2" w:rsidP="00D057C3">
            <w:pPr>
              <w:jc w:val="center"/>
              <w:rPr>
                <w:sz w:val="18"/>
              </w:rPr>
            </w:pPr>
          </w:p>
          <w:p w14:paraId="6A3211D7" w14:textId="77777777" w:rsidR="002771F2" w:rsidRDefault="002771F2" w:rsidP="00D057C3">
            <w:pPr>
              <w:jc w:val="center"/>
              <w:rPr>
                <w:sz w:val="18"/>
              </w:rPr>
            </w:pPr>
          </w:p>
          <w:p w14:paraId="14ED7F95" w14:textId="2306AD42" w:rsidR="002771F2" w:rsidRPr="00F41F91" w:rsidRDefault="002771F2" w:rsidP="00D057C3">
            <w:pPr>
              <w:jc w:val="center"/>
              <w:rPr>
                <w:sz w:val="18"/>
              </w:rPr>
            </w:pPr>
            <w:r>
              <w:rPr>
                <w:sz w:val="18"/>
              </w:rPr>
              <w:t>100</w:t>
            </w:r>
          </w:p>
        </w:tc>
        <w:tc>
          <w:tcPr>
            <w:tcW w:w="2808" w:type="dxa"/>
            <w:tcBorders>
              <w:bottom w:val="single" w:sz="18" w:space="0" w:color="auto"/>
              <w:right w:val="single" w:sz="6" w:space="0" w:color="auto"/>
            </w:tcBorders>
          </w:tcPr>
          <w:p w14:paraId="5EEFA611" w14:textId="77777777" w:rsidR="00BC6327" w:rsidRDefault="002771F2" w:rsidP="00D057C3">
            <w:pPr>
              <w:rPr>
                <w:sz w:val="18"/>
              </w:rPr>
            </w:pPr>
            <w:r>
              <w:rPr>
                <w:sz w:val="18"/>
              </w:rPr>
              <w:t>Discharge of oil drilling wastes and from metal refineries erosion of natural deposits</w:t>
            </w:r>
          </w:p>
          <w:p w14:paraId="76443EAF" w14:textId="0FC2B859" w:rsidR="002771F2" w:rsidRPr="00F41F91" w:rsidRDefault="002771F2" w:rsidP="00D057C3">
            <w:pPr>
              <w:rPr>
                <w:sz w:val="18"/>
              </w:rPr>
            </w:pPr>
            <w:r>
              <w:rPr>
                <w:sz w:val="18"/>
              </w:rPr>
              <w:t>Discharge from steel and pulp mills and chrome plating,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20B244F9" w14:textId="77777777" w:rsidR="00BC6327" w:rsidRDefault="002771F2" w:rsidP="00D057C3">
            <w:pPr>
              <w:ind w:left="187"/>
              <w:rPr>
                <w:sz w:val="18"/>
              </w:rPr>
            </w:pPr>
            <w:r>
              <w:rPr>
                <w:sz w:val="18"/>
              </w:rPr>
              <w:t>Zinc (ppb)</w:t>
            </w:r>
          </w:p>
          <w:p w14:paraId="6D88D707" w14:textId="77777777" w:rsidR="002771F2" w:rsidRDefault="002771F2" w:rsidP="00D057C3">
            <w:pPr>
              <w:ind w:left="187"/>
              <w:rPr>
                <w:sz w:val="18"/>
              </w:rPr>
            </w:pPr>
          </w:p>
          <w:p w14:paraId="7304357B" w14:textId="77777777" w:rsidR="002771F2" w:rsidRDefault="002771F2" w:rsidP="00D057C3">
            <w:pPr>
              <w:ind w:left="187"/>
              <w:rPr>
                <w:sz w:val="18"/>
              </w:rPr>
            </w:pPr>
          </w:p>
          <w:p w14:paraId="49FF38EB" w14:textId="77777777" w:rsidR="002771F2" w:rsidRDefault="002771F2" w:rsidP="00D057C3">
            <w:pPr>
              <w:ind w:left="187"/>
              <w:rPr>
                <w:sz w:val="18"/>
              </w:rPr>
            </w:pPr>
            <w:r>
              <w:rPr>
                <w:sz w:val="18"/>
              </w:rPr>
              <w:t>Sulfate (ppm)</w:t>
            </w:r>
          </w:p>
          <w:p w14:paraId="6CF420F7" w14:textId="77777777" w:rsidR="002771F2" w:rsidRDefault="002771F2" w:rsidP="00D057C3">
            <w:pPr>
              <w:ind w:left="187"/>
              <w:rPr>
                <w:sz w:val="18"/>
              </w:rPr>
            </w:pPr>
          </w:p>
          <w:p w14:paraId="0FAABE8B" w14:textId="77777777" w:rsidR="002771F2" w:rsidRDefault="002771F2" w:rsidP="00D057C3">
            <w:pPr>
              <w:ind w:left="187"/>
              <w:rPr>
                <w:sz w:val="18"/>
              </w:rPr>
            </w:pPr>
          </w:p>
          <w:p w14:paraId="3DAB9A83" w14:textId="55E71C0B" w:rsidR="002771F2" w:rsidRPr="00F41F91" w:rsidRDefault="002771F2" w:rsidP="00D057C3">
            <w:pPr>
              <w:ind w:left="187"/>
              <w:rPr>
                <w:sz w:val="18"/>
              </w:rPr>
            </w:pPr>
            <w:r>
              <w:rPr>
                <w:sz w:val="18"/>
              </w:rPr>
              <w:t>Chloride (ppm)</w:t>
            </w:r>
          </w:p>
        </w:tc>
        <w:tc>
          <w:tcPr>
            <w:tcW w:w="990" w:type="dxa"/>
          </w:tcPr>
          <w:p w14:paraId="6E7772C4" w14:textId="77777777" w:rsidR="00BC6327" w:rsidRDefault="002771F2" w:rsidP="00D057C3">
            <w:pPr>
              <w:jc w:val="center"/>
              <w:rPr>
                <w:sz w:val="18"/>
              </w:rPr>
            </w:pPr>
            <w:r>
              <w:rPr>
                <w:sz w:val="18"/>
              </w:rPr>
              <w:t>5/22/19</w:t>
            </w:r>
          </w:p>
          <w:p w14:paraId="3A994E92" w14:textId="77777777" w:rsidR="002771F2" w:rsidRDefault="002771F2" w:rsidP="00D057C3">
            <w:pPr>
              <w:jc w:val="center"/>
              <w:rPr>
                <w:sz w:val="18"/>
              </w:rPr>
            </w:pPr>
          </w:p>
          <w:p w14:paraId="006AE447" w14:textId="77777777" w:rsidR="002771F2" w:rsidRDefault="002771F2" w:rsidP="00D057C3">
            <w:pPr>
              <w:jc w:val="center"/>
              <w:rPr>
                <w:sz w:val="18"/>
              </w:rPr>
            </w:pPr>
          </w:p>
          <w:p w14:paraId="51EDFDE5" w14:textId="77777777" w:rsidR="002771F2" w:rsidRDefault="002771F2" w:rsidP="00D057C3">
            <w:pPr>
              <w:jc w:val="center"/>
              <w:rPr>
                <w:sz w:val="18"/>
              </w:rPr>
            </w:pPr>
            <w:r>
              <w:rPr>
                <w:sz w:val="18"/>
              </w:rPr>
              <w:t>5/22/19</w:t>
            </w:r>
          </w:p>
          <w:p w14:paraId="47035F65" w14:textId="77777777" w:rsidR="002771F2" w:rsidRDefault="002771F2" w:rsidP="00D057C3">
            <w:pPr>
              <w:jc w:val="center"/>
              <w:rPr>
                <w:sz w:val="18"/>
              </w:rPr>
            </w:pPr>
          </w:p>
          <w:p w14:paraId="3D901E27" w14:textId="77777777" w:rsidR="002771F2" w:rsidRDefault="002771F2" w:rsidP="00D057C3">
            <w:pPr>
              <w:jc w:val="center"/>
              <w:rPr>
                <w:sz w:val="18"/>
              </w:rPr>
            </w:pPr>
          </w:p>
          <w:p w14:paraId="7B53609D" w14:textId="5CE19C6D" w:rsidR="002771F2" w:rsidRPr="00F41F91" w:rsidRDefault="002771F2" w:rsidP="00D057C3">
            <w:pPr>
              <w:jc w:val="center"/>
              <w:rPr>
                <w:sz w:val="18"/>
              </w:rPr>
            </w:pPr>
            <w:r>
              <w:rPr>
                <w:sz w:val="18"/>
              </w:rPr>
              <w:t>5/22/19</w:t>
            </w:r>
          </w:p>
        </w:tc>
        <w:tc>
          <w:tcPr>
            <w:tcW w:w="1350" w:type="dxa"/>
          </w:tcPr>
          <w:p w14:paraId="70FBD919" w14:textId="77777777" w:rsidR="00BC6327" w:rsidRDefault="002771F2" w:rsidP="00D057C3">
            <w:pPr>
              <w:jc w:val="center"/>
              <w:rPr>
                <w:sz w:val="18"/>
              </w:rPr>
            </w:pPr>
            <w:r>
              <w:rPr>
                <w:sz w:val="18"/>
              </w:rPr>
              <w:t>50</w:t>
            </w:r>
          </w:p>
          <w:p w14:paraId="782EC9A0" w14:textId="77777777" w:rsidR="002771F2" w:rsidRDefault="002771F2" w:rsidP="00D057C3">
            <w:pPr>
              <w:jc w:val="center"/>
              <w:rPr>
                <w:sz w:val="18"/>
              </w:rPr>
            </w:pPr>
          </w:p>
          <w:p w14:paraId="528E6DA5" w14:textId="77777777" w:rsidR="002771F2" w:rsidRDefault="002771F2" w:rsidP="00D057C3">
            <w:pPr>
              <w:jc w:val="center"/>
              <w:rPr>
                <w:sz w:val="18"/>
              </w:rPr>
            </w:pPr>
          </w:p>
          <w:p w14:paraId="791335E7" w14:textId="77777777" w:rsidR="002771F2" w:rsidRDefault="002771F2" w:rsidP="00D057C3">
            <w:pPr>
              <w:jc w:val="center"/>
              <w:rPr>
                <w:sz w:val="18"/>
              </w:rPr>
            </w:pPr>
            <w:r>
              <w:rPr>
                <w:sz w:val="18"/>
              </w:rPr>
              <w:t>42.1</w:t>
            </w:r>
          </w:p>
          <w:p w14:paraId="57A28797" w14:textId="77777777" w:rsidR="002771F2" w:rsidRDefault="002771F2" w:rsidP="00D057C3">
            <w:pPr>
              <w:jc w:val="center"/>
              <w:rPr>
                <w:sz w:val="18"/>
              </w:rPr>
            </w:pPr>
          </w:p>
          <w:p w14:paraId="40624FDA" w14:textId="77777777" w:rsidR="002771F2" w:rsidRDefault="002771F2" w:rsidP="00D057C3">
            <w:pPr>
              <w:jc w:val="center"/>
              <w:rPr>
                <w:sz w:val="18"/>
              </w:rPr>
            </w:pPr>
          </w:p>
          <w:p w14:paraId="48AE5CBF" w14:textId="513FA744" w:rsidR="002771F2" w:rsidRPr="00F41F91" w:rsidRDefault="002771F2" w:rsidP="00D057C3">
            <w:pPr>
              <w:jc w:val="center"/>
              <w:rPr>
                <w:sz w:val="18"/>
              </w:rPr>
            </w:pPr>
            <w:r>
              <w:rPr>
                <w:sz w:val="18"/>
              </w:rPr>
              <w:t>22</w:t>
            </w:r>
          </w:p>
        </w:tc>
        <w:tc>
          <w:tcPr>
            <w:tcW w:w="1440" w:type="dxa"/>
          </w:tcPr>
          <w:p w14:paraId="6428F303" w14:textId="77777777" w:rsidR="00BC6327" w:rsidRPr="00F41F91" w:rsidRDefault="00BC6327" w:rsidP="00D057C3">
            <w:pPr>
              <w:jc w:val="center"/>
              <w:rPr>
                <w:sz w:val="18"/>
              </w:rPr>
            </w:pPr>
          </w:p>
        </w:tc>
        <w:tc>
          <w:tcPr>
            <w:tcW w:w="900" w:type="dxa"/>
          </w:tcPr>
          <w:p w14:paraId="3CD01AB0" w14:textId="77777777" w:rsidR="00BC6327" w:rsidRDefault="002771F2" w:rsidP="00D057C3">
            <w:pPr>
              <w:jc w:val="center"/>
              <w:rPr>
                <w:sz w:val="18"/>
              </w:rPr>
            </w:pPr>
            <w:r>
              <w:rPr>
                <w:sz w:val="18"/>
              </w:rPr>
              <w:t>5000</w:t>
            </w:r>
          </w:p>
          <w:p w14:paraId="1484F6D0" w14:textId="77777777" w:rsidR="002771F2" w:rsidRDefault="002771F2" w:rsidP="00D057C3">
            <w:pPr>
              <w:jc w:val="center"/>
              <w:rPr>
                <w:sz w:val="18"/>
              </w:rPr>
            </w:pPr>
          </w:p>
          <w:p w14:paraId="4C7A818C" w14:textId="77777777" w:rsidR="002771F2" w:rsidRDefault="002771F2" w:rsidP="00D057C3">
            <w:pPr>
              <w:jc w:val="center"/>
              <w:rPr>
                <w:sz w:val="18"/>
              </w:rPr>
            </w:pPr>
          </w:p>
          <w:p w14:paraId="1ACE1593" w14:textId="77777777" w:rsidR="002771F2" w:rsidRDefault="002771F2" w:rsidP="00D057C3">
            <w:pPr>
              <w:jc w:val="center"/>
              <w:rPr>
                <w:sz w:val="18"/>
              </w:rPr>
            </w:pPr>
            <w:r>
              <w:rPr>
                <w:sz w:val="18"/>
              </w:rPr>
              <w:t>500</w:t>
            </w:r>
          </w:p>
          <w:p w14:paraId="7DF65308" w14:textId="77777777" w:rsidR="002771F2" w:rsidRDefault="002771F2" w:rsidP="00D057C3">
            <w:pPr>
              <w:jc w:val="center"/>
              <w:rPr>
                <w:sz w:val="18"/>
              </w:rPr>
            </w:pPr>
          </w:p>
          <w:p w14:paraId="3929398A" w14:textId="77777777" w:rsidR="002771F2" w:rsidRDefault="002771F2" w:rsidP="00D057C3">
            <w:pPr>
              <w:jc w:val="center"/>
              <w:rPr>
                <w:sz w:val="18"/>
              </w:rPr>
            </w:pPr>
          </w:p>
          <w:p w14:paraId="11FF9BF3" w14:textId="22F64F78" w:rsidR="002771F2" w:rsidRPr="00F41F91" w:rsidRDefault="002771F2" w:rsidP="00D057C3">
            <w:pPr>
              <w:jc w:val="center"/>
              <w:rPr>
                <w:sz w:val="18"/>
              </w:rPr>
            </w:pPr>
            <w:r>
              <w:rPr>
                <w:sz w:val="18"/>
              </w:rPr>
              <w:t>500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72995A38" w14:textId="77777777" w:rsidR="00BC6327" w:rsidRDefault="002771F2" w:rsidP="00D057C3">
            <w:pPr>
              <w:rPr>
                <w:sz w:val="18"/>
              </w:rPr>
            </w:pPr>
            <w:r>
              <w:rPr>
                <w:sz w:val="18"/>
              </w:rPr>
              <w:t>Runoff/leaching from natural deposits; industrial</w:t>
            </w:r>
          </w:p>
          <w:p w14:paraId="742BE68A" w14:textId="77777777" w:rsidR="002771F2" w:rsidRDefault="002771F2" w:rsidP="00D057C3">
            <w:pPr>
              <w:rPr>
                <w:sz w:val="18"/>
              </w:rPr>
            </w:pPr>
          </w:p>
          <w:p w14:paraId="0173FB49" w14:textId="77777777" w:rsidR="002771F2" w:rsidRDefault="002771F2" w:rsidP="00D057C3">
            <w:pPr>
              <w:rPr>
                <w:sz w:val="18"/>
              </w:rPr>
            </w:pPr>
            <w:r>
              <w:rPr>
                <w:sz w:val="18"/>
              </w:rPr>
              <w:t>Runoff/leaching from natural deposits; industrial wastes</w:t>
            </w:r>
          </w:p>
          <w:p w14:paraId="00B31749" w14:textId="77777777" w:rsidR="002771F2" w:rsidRDefault="002771F2" w:rsidP="00D057C3">
            <w:pPr>
              <w:rPr>
                <w:sz w:val="18"/>
              </w:rPr>
            </w:pPr>
          </w:p>
          <w:p w14:paraId="43B6AB0B" w14:textId="005A0C2B" w:rsidR="002771F2" w:rsidRPr="00F41F91" w:rsidRDefault="0092422D" w:rsidP="00D057C3">
            <w:pPr>
              <w:rPr>
                <w:sz w:val="18"/>
              </w:rPr>
            </w:pPr>
            <w:r>
              <w:rPr>
                <w:sz w:val="18"/>
              </w:rPr>
              <w:t>Runoff/leaching from natural deposits;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FE2D602" w14:textId="77777777" w:rsidR="00BC6327" w:rsidRDefault="0092422D" w:rsidP="00D057C3">
            <w:pPr>
              <w:ind w:left="187"/>
              <w:rPr>
                <w:sz w:val="18"/>
              </w:rPr>
            </w:pPr>
            <w:r>
              <w:rPr>
                <w:sz w:val="18"/>
              </w:rPr>
              <w:t>Specific Conductance</w:t>
            </w:r>
          </w:p>
          <w:p w14:paraId="7994CF29" w14:textId="77777777" w:rsidR="0092422D" w:rsidRDefault="0092422D" w:rsidP="00D057C3">
            <w:pPr>
              <w:ind w:left="187"/>
              <w:rPr>
                <w:sz w:val="18"/>
              </w:rPr>
            </w:pPr>
          </w:p>
          <w:p w14:paraId="0B74911C" w14:textId="77777777" w:rsidR="0092422D" w:rsidRDefault="0092422D" w:rsidP="00D057C3">
            <w:pPr>
              <w:ind w:left="187"/>
              <w:rPr>
                <w:sz w:val="18"/>
              </w:rPr>
            </w:pPr>
          </w:p>
          <w:p w14:paraId="307ADA7C" w14:textId="68E7D96E" w:rsidR="0092422D" w:rsidRPr="00F41F91" w:rsidRDefault="0092422D" w:rsidP="00D057C3">
            <w:pPr>
              <w:ind w:left="187"/>
              <w:rPr>
                <w:sz w:val="18"/>
              </w:rPr>
            </w:pPr>
            <w:r>
              <w:rPr>
                <w:sz w:val="18"/>
              </w:rPr>
              <w:t>TDS (ppm)</w:t>
            </w:r>
          </w:p>
        </w:tc>
        <w:tc>
          <w:tcPr>
            <w:tcW w:w="990" w:type="dxa"/>
            <w:tcBorders>
              <w:bottom w:val="single" w:sz="18" w:space="0" w:color="auto"/>
            </w:tcBorders>
          </w:tcPr>
          <w:p w14:paraId="5969B76C" w14:textId="77777777" w:rsidR="00BC6327" w:rsidRDefault="0092422D" w:rsidP="00D057C3">
            <w:pPr>
              <w:jc w:val="center"/>
              <w:rPr>
                <w:sz w:val="18"/>
              </w:rPr>
            </w:pPr>
            <w:r>
              <w:rPr>
                <w:sz w:val="18"/>
              </w:rPr>
              <w:t>5/22/19</w:t>
            </w:r>
          </w:p>
          <w:p w14:paraId="105AB88E" w14:textId="77777777" w:rsidR="0092422D" w:rsidRDefault="0092422D" w:rsidP="00D057C3">
            <w:pPr>
              <w:jc w:val="center"/>
              <w:rPr>
                <w:sz w:val="18"/>
              </w:rPr>
            </w:pPr>
          </w:p>
          <w:p w14:paraId="1D11C396" w14:textId="77777777" w:rsidR="0092422D" w:rsidRDefault="0092422D" w:rsidP="00D057C3">
            <w:pPr>
              <w:jc w:val="center"/>
              <w:rPr>
                <w:sz w:val="18"/>
              </w:rPr>
            </w:pPr>
          </w:p>
          <w:p w14:paraId="741CA754" w14:textId="4D891DB2" w:rsidR="0092422D" w:rsidRPr="00F41F91" w:rsidRDefault="0092422D" w:rsidP="00D057C3">
            <w:pPr>
              <w:jc w:val="center"/>
              <w:rPr>
                <w:sz w:val="18"/>
              </w:rPr>
            </w:pPr>
            <w:r>
              <w:rPr>
                <w:sz w:val="18"/>
              </w:rPr>
              <w:t>5/22/19</w:t>
            </w:r>
          </w:p>
        </w:tc>
        <w:tc>
          <w:tcPr>
            <w:tcW w:w="1350" w:type="dxa"/>
            <w:tcBorders>
              <w:bottom w:val="single" w:sz="18" w:space="0" w:color="auto"/>
              <w:right w:val="single" w:sz="6" w:space="0" w:color="auto"/>
            </w:tcBorders>
          </w:tcPr>
          <w:p w14:paraId="713DEDB9" w14:textId="77777777" w:rsidR="00BC6327" w:rsidRDefault="0092422D" w:rsidP="00D057C3">
            <w:pPr>
              <w:jc w:val="center"/>
              <w:rPr>
                <w:sz w:val="18"/>
              </w:rPr>
            </w:pPr>
            <w:r>
              <w:rPr>
                <w:sz w:val="18"/>
              </w:rPr>
              <w:t>613</w:t>
            </w:r>
          </w:p>
          <w:p w14:paraId="74EB0672" w14:textId="77777777" w:rsidR="0092422D" w:rsidRDefault="0092422D" w:rsidP="00D057C3">
            <w:pPr>
              <w:jc w:val="center"/>
              <w:rPr>
                <w:sz w:val="18"/>
              </w:rPr>
            </w:pPr>
          </w:p>
          <w:p w14:paraId="353FE07E" w14:textId="77777777" w:rsidR="0092422D" w:rsidRDefault="0092422D" w:rsidP="00D057C3">
            <w:pPr>
              <w:jc w:val="center"/>
              <w:rPr>
                <w:sz w:val="18"/>
              </w:rPr>
            </w:pPr>
          </w:p>
          <w:p w14:paraId="0A4C2B05" w14:textId="7AA28169" w:rsidR="0092422D" w:rsidRPr="00F41F91" w:rsidRDefault="0092422D" w:rsidP="00D057C3">
            <w:pPr>
              <w:jc w:val="center"/>
              <w:rPr>
                <w:sz w:val="18"/>
              </w:rPr>
            </w:pPr>
            <w:r>
              <w:rPr>
                <w:sz w:val="18"/>
              </w:rPr>
              <w:t>360</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24F11179" w14:textId="77777777" w:rsidR="00BC6327" w:rsidRDefault="0092422D" w:rsidP="00D057C3">
            <w:pPr>
              <w:jc w:val="center"/>
              <w:rPr>
                <w:sz w:val="18"/>
              </w:rPr>
            </w:pPr>
            <w:r>
              <w:rPr>
                <w:sz w:val="18"/>
              </w:rPr>
              <w:t>1000</w:t>
            </w:r>
          </w:p>
          <w:p w14:paraId="34A51845" w14:textId="77777777" w:rsidR="0092422D" w:rsidRDefault="0092422D" w:rsidP="00D057C3">
            <w:pPr>
              <w:jc w:val="center"/>
              <w:rPr>
                <w:sz w:val="18"/>
              </w:rPr>
            </w:pPr>
          </w:p>
          <w:p w14:paraId="03BDA1D6" w14:textId="77777777" w:rsidR="0092422D" w:rsidRDefault="0092422D" w:rsidP="00D057C3">
            <w:pPr>
              <w:jc w:val="center"/>
              <w:rPr>
                <w:sz w:val="18"/>
              </w:rPr>
            </w:pPr>
          </w:p>
          <w:p w14:paraId="5329A979" w14:textId="63121C97" w:rsidR="0092422D" w:rsidRPr="00F41F91" w:rsidRDefault="0092422D" w:rsidP="00D057C3">
            <w:pPr>
              <w:jc w:val="center"/>
              <w:rPr>
                <w:sz w:val="18"/>
              </w:rPr>
            </w:pPr>
            <w:r>
              <w:rPr>
                <w:sz w:val="18"/>
              </w:rPr>
              <w:t>1000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26D6473A" w14:textId="77777777" w:rsidR="00BC6327" w:rsidRDefault="0092422D" w:rsidP="00D057C3">
            <w:pPr>
              <w:rPr>
                <w:sz w:val="18"/>
              </w:rPr>
            </w:pPr>
            <w:r>
              <w:rPr>
                <w:sz w:val="18"/>
              </w:rPr>
              <w:t>Substances that form ions when in water; seawater influence</w:t>
            </w:r>
          </w:p>
          <w:p w14:paraId="49733381" w14:textId="77777777" w:rsidR="0092422D" w:rsidRDefault="0092422D" w:rsidP="00D057C3">
            <w:pPr>
              <w:rPr>
                <w:sz w:val="18"/>
              </w:rPr>
            </w:pPr>
          </w:p>
          <w:p w14:paraId="31A8151D" w14:textId="329DA2BE" w:rsidR="0092422D" w:rsidRPr="00F41F91" w:rsidRDefault="0092422D" w:rsidP="00D057C3">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CDADA1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92422D">
        <w:rPr>
          <w:rFonts w:ascii="Times New Roman" w:hAnsi="Times New Roman"/>
          <w:b/>
          <w:i/>
          <w:u w:val="single"/>
        </w:rPr>
        <w:t>Hope Elementary School</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173B474A" w:rsidR="002B3B52" w:rsidRPr="001F3468" w:rsidRDefault="008F029F">
            <w:pPr>
              <w:pStyle w:val="BodyText"/>
              <w:spacing w:before="0"/>
              <w:jc w:val="left"/>
              <w:rPr>
                <w:rFonts w:ascii="Times New Roman" w:hAnsi="Times New Roman"/>
              </w:rPr>
            </w:pPr>
            <w:r>
              <w:rPr>
                <w:rFonts w:ascii="Times New Roman" w:hAnsi="Times New Roman"/>
              </w:rPr>
              <w:t>Nitrate in drinking water at levels above 10 mg/L is a health risk for infants o less than six months of age.  Such nitrate level in drinking water can interfere with the capacity of the infant’s blood to carry oxygen, resulting in serious illness; symptoms include shortness of breath and blueness of the skin.  Nitrate levels above 10 mg/L may also affect the ability to carry oxygen in other individuals, such as pregnant women and those with specific enzyme deficiencies.  If you are caring for an infant, or you are pregnant, you should ask advice from your health care provider.</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BCE4DB5" w:rsidR="00803861" w:rsidRPr="00F41F91" w:rsidRDefault="008F029F" w:rsidP="00AC41BE">
            <w:pPr>
              <w:pStyle w:val="BodyText"/>
              <w:spacing w:before="0"/>
              <w:jc w:val="left"/>
              <w:rPr>
                <w:rFonts w:ascii="Times New Roman" w:hAnsi="Times New Roman"/>
                <w:b/>
                <w:sz w:val="26"/>
              </w:rPr>
            </w:pPr>
            <w:r>
              <w:rPr>
                <w:rFonts w:ascii="Times New Roman" w:hAnsi="Times New Roman"/>
                <w:b/>
                <w:sz w:val="26"/>
              </w:rPr>
              <w:t>Nitrate</w:t>
            </w:r>
          </w:p>
        </w:tc>
        <w:tc>
          <w:tcPr>
            <w:tcW w:w="2203" w:type="dxa"/>
            <w:tcBorders>
              <w:top w:val="double" w:sz="6" w:space="0" w:color="auto"/>
              <w:bottom w:val="single" w:sz="4" w:space="0" w:color="auto"/>
            </w:tcBorders>
            <w:shd w:val="clear" w:color="auto" w:fill="auto"/>
          </w:tcPr>
          <w:p w14:paraId="0C6FD2A3" w14:textId="63C9C554" w:rsidR="00803861" w:rsidRPr="00F41F91" w:rsidRDefault="008F029F" w:rsidP="00AC41BE">
            <w:pPr>
              <w:pStyle w:val="BodyText"/>
              <w:spacing w:before="0"/>
              <w:jc w:val="left"/>
              <w:rPr>
                <w:rFonts w:ascii="Times New Roman" w:hAnsi="Times New Roman"/>
                <w:b/>
                <w:sz w:val="26"/>
              </w:rPr>
            </w:pPr>
            <w:r>
              <w:rPr>
                <w:rFonts w:ascii="Times New Roman" w:hAnsi="Times New Roman"/>
                <w:b/>
                <w:sz w:val="26"/>
              </w:rPr>
              <w:t>See Above</w:t>
            </w:r>
          </w:p>
        </w:tc>
        <w:tc>
          <w:tcPr>
            <w:tcW w:w="2203" w:type="dxa"/>
            <w:tcBorders>
              <w:top w:val="double" w:sz="6" w:space="0" w:color="auto"/>
              <w:bottom w:val="single" w:sz="4" w:space="0" w:color="auto"/>
            </w:tcBorders>
            <w:shd w:val="clear" w:color="auto" w:fill="auto"/>
          </w:tcPr>
          <w:p w14:paraId="38F06260" w14:textId="2CCA281F" w:rsidR="00803861" w:rsidRPr="00F41F91" w:rsidRDefault="008F029F" w:rsidP="00AC41BE">
            <w:pPr>
              <w:pStyle w:val="BodyText"/>
              <w:spacing w:before="0"/>
              <w:jc w:val="left"/>
              <w:rPr>
                <w:rFonts w:ascii="Times New Roman" w:hAnsi="Times New Roman"/>
                <w:b/>
                <w:sz w:val="26"/>
              </w:rPr>
            </w:pPr>
            <w:r>
              <w:rPr>
                <w:rFonts w:ascii="Times New Roman" w:hAnsi="Times New Roman"/>
                <w:b/>
                <w:sz w:val="26"/>
              </w:rPr>
              <w:t>Continual</w:t>
            </w:r>
          </w:p>
        </w:tc>
        <w:tc>
          <w:tcPr>
            <w:tcW w:w="2203" w:type="dxa"/>
            <w:tcBorders>
              <w:top w:val="double" w:sz="6" w:space="0" w:color="auto"/>
              <w:bottom w:val="single" w:sz="4" w:space="0" w:color="auto"/>
            </w:tcBorders>
            <w:shd w:val="clear" w:color="auto" w:fill="auto"/>
          </w:tcPr>
          <w:p w14:paraId="78FAC853" w14:textId="183856AD" w:rsidR="00803861" w:rsidRPr="00F41F91" w:rsidRDefault="008F029F" w:rsidP="00AC41BE">
            <w:pPr>
              <w:pStyle w:val="BodyText"/>
              <w:spacing w:before="0"/>
              <w:jc w:val="left"/>
              <w:rPr>
                <w:rFonts w:ascii="Times New Roman" w:hAnsi="Times New Roman"/>
                <w:b/>
                <w:sz w:val="26"/>
              </w:rPr>
            </w:pPr>
            <w:r>
              <w:rPr>
                <w:rFonts w:ascii="Times New Roman" w:hAnsi="Times New Roman"/>
                <w:b/>
                <w:sz w:val="26"/>
              </w:rPr>
              <w:t>Quarterly Testing</w:t>
            </w:r>
          </w:p>
        </w:tc>
        <w:tc>
          <w:tcPr>
            <w:tcW w:w="2096" w:type="dxa"/>
            <w:tcBorders>
              <w:top w:val="double" w:sz="6" w:space="0" w:color="auto"/>
              <w:bottom w:val="single" w:sz="4" w:space="0" w:color="auto"/>
            </w:tcBorders>
            <w:shd w:val="clear" w:color="auto" w:fill="auto"/>
          </w:tcPr>
          <w:p w14:paraId="47E414FC" w14:textId="51B6CEAD" w:rsidR="00803861" w:rsidRPr="00F41F91" w:rsidRDefault="008F029F" w:rsidP="00AC41BE">
            <w:pPr>
              <w:pStyle w:val="BodyText"/>
              <w:spacing w:before="0"/>
              <w:jc w:val="left"/>
              <w:rPr>
                <w:rFonts w:ascii="Times New Roman" w:hAnsi="Times New Roman"/>
                <w:b/>
                <w:sz w:val="26"/>
              </w:rPr>
            </w:pPr>
            <w:r>
              <w:rPr>
                <w:rFonts w:ascii="Times New Roman" w:hAnsi="Times New Roman"/>
                <w:b/>
                <w:sz w:val="26"/>
              </w:rPr>
              <w:t>See Above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8F029F">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FA393" w14:textId="77777777" w:rsidR="006630DC" w:rsidRDefault="006630DC">
      <w:r>
        <w:separator/>
      </w:r>
    </w:p>
  </w:endnote>
  <w:endnote w:type="continuationSeparator" w:id="0">
    <w:p w14:paraId="3EF1643B" w14:textId="77777777" w:rsidR="006630DC" w:rsidRDefault="0066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5040D" w14:textId="77777777" w:rsidR="006630DC" w:rsidRDefault="006630DC">
      <w:r>
        <w:separator/>
      </w:r>
    </w:p>
  </w:footnote>
  <w:footnote w:type="continuationSeparator" w:id="0">
    <w:p w14:paraId="38A6DFEC" w14:textId="77777777" w:rsidR="006630DC" w:rsidRDefault="0066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6D4"/>
    <w:rsid w:val="00226E0C"/>
    <w:rsid w:val="00231E89"/>
    <w:rsid w:val="0023302C"/>
    <w:rsid w:val="00243361"/>
    <w:rsid w:val="002436C8"/>
    <w:rsid w:val="00246D6E"/>
    <w:rsid w:val="0025510E"/>
    <w:rsid w:val="00256496"/>
    <w:rsid w:val="00264941"/>
    <w:rsid w:val="00273001"/>
    <w:rsid w:val="002771F2"/>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30DC"/>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7760"/>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4F7"/>
    <w:rsid w:val="008272D0"/>
    <w:rsid w:val="00831585"/>
    <w:rsid w:val="00832E7C"/>
    <w:rsid w:val="00836B2C"/>
    <w:rsid w:val="00857337"/>
    <w:rsid w:val="00860711"/>
    <w:rsid w:val="008642CC"/>
    <w:rsid w:val="00866E3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029F"/>
    <w:rsid w:val="008F7660"/>
    <w:rsid w:val="00900CB8"/>
    <w:rsid w:val="00901274"/>
    <w:rsid w:val="00901C69"/>
    <w:rsid w:val="00904288"/>
    <w:rsid w:val="00911A33"/>
    <w:rsid w:val="00915867"/>
    <w:rsid w:val="009160C7"/>
    <w:rsid w:val="00921C44"/>
    <w:rsid w:val="0092422D"/>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5D3"/>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Tom</cp:lastModifiedBy>
  <cp:revision>3</cp:revision>
  <cp:lastPrinted>2020-02-07T22:54:00Z</cp:lastPrinted>
  <dcterms:created xsi:type="dcterms:W3CDTF">2020-06-12T22:28:00Z</dcterms:created>
  <dcterms:modified xsi:type="dcterms:W3CDTF">2020-06-13T00:50:00Z</dcterms:modified>
</cp:coreProperties>
</file>