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21D643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00264594">
        <w:rPr>
          <w:rFonts w:ascii="Arial" w:hAnsi="Arial" w:cs="Arial"/>
          <w:sz w:val="24"/>
          <w:szCs w:val="24"/>
        </w:rPr>
        <w:t>: Porterville Mobile Village</w:t>
      </w:r>
    </w:p>
    <w:p w14:paraId="65A99AB1" w14:textId="55FECC2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64594">
        <w:rPr>
          <w:rFonts w:ascii="Arial" w:hAnsi="Arial" w:cs="Arial"/>
          <w:sz w:val="24"/>
          <w:szCs w:val="24"/>
        </w:rPr>
        <w:t>6/12/2022</w:t>
      </w:r>
    </w:p>
    <w:p w14:paraId="21C05768" w14:textId="1C8CDE4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64594">
        <w:rPr>
          <w:rFonts w:ascii="Arial" w:hAnsi="Arial" w:cs="Arial"/>
          <w:sz w:val="24"/>
          <w:szCs w:val="24"/>
        </w:rPr>
        <w:t>Well</w:t>
      </w:r>
    </w:p>
    <w:p w14:paraId="6AE5ED8C" w14:textId="0707926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64594">
        <w:rPr>
          <w:rFonts w:ascii="Arial" w:hAnsi="Arial" w:cs="Arial"/>
          <w:sz w:val="24"/>
          <w:szCs w:val="24"/>
        </w:rPr>
        <w:t>Well 1</w:t>
      </w:r>
    </w:p>
    <w:p w14:paraId="11D6F99D" w14:textId="07324B4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64594">
        <w:rPr>
          <w:rFonts w:ascii="Arial" w:hAnsi="Arial" w:cs="Arial"/>
          <w:sz w:val="24"/>
          <w:szCs w:val="24"/>
        </w:rPr>
        <w:t>N/A</w:t>
      </w:r>
    </w:p>
    <w:p w14:paraId="55CC3D7E" w14:textId="39698E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64594">
        <w:rPr>
          <w:rFonts w:ascii="Arial" w:hAnsi="Arial" w:cs="Arial"/>
          <w:sz w:val="24"/>
          <w:szCs w:val="24"/>
        </w:rPr>
        <w:t>N/A</w:t>
      </w:r>
    </w:p>
    <w:p w14:paraId="175FE9EF" w14:textId="720592C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64594">
        <w:rPr>
          <w:rFonts w:ascii="Arial" w:hAnsi="Arial" w:cs="Arial"/>
          <w:sz w:val="24"/>
          <w:szCs w:val="24"/>
        </w:rPr>
        <w:t>Ben Smith (916) 397-7448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2F5FB9B"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264594">
        <w:rPr>
          <w:rFonts w:ascii="Arial" w:hAnsi="Arial" w:cs="Arial"/>
          <w:sz w:val="24"/>
          <w:szCs w:val="24"/>
        </w:rPr>
        <w:t>Porterville Mobile Village</w:t>
      </w:r>
      <w:r w:rsidR="00264594" w:rsidRPr="0050755D">
        <w:rPr>
          <w:rFonts w:ascii="Arial" w:hAnsi="Arial" w:cs="Arial"/>
          <w:sz w:val="24"/>
          <w:szCs w:val="24"/>
          <w:lang w:val="es-MX"/>
        </w:rPr>
        <w:t xml:space="preserve"> </w:t>
      </w:r>
      <w:r w:rsidR="00442D66" w:rsidRPr="0050755D">
        <w:rPr>
          <w:rFonts w:ascii="Arial" w:hAnsi="Arial" w:cs="Arial"/>
          <w:sz w:val="24"/>
          <w:szCs w:val="24"/>
          <w:lang w:val="es-MX"/>
        </w:rPr>
        <w:t>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4A0747D6" w14:textId="77777777" w:rsidR="00264594" w:rsidRPr="005F082E" w:rsidRDefault="0092687A" w:rsidP="00264594">
      <w:pPr>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264594">
        <w:rPr>
          <w:rFonts w:ascii="Arial" w:hAnsi="Arial" w:cs="Arial"/>
          <w:sz w:val="24"/>
          <w:szCs w:val="24"/>
        </w:rPr>
        <w:t>Porterville Mobile Village</w:t>
      </w:r>
      <w:r w:rsidR="00264594">
        <w:rPr>
          <w:rFonts w:ascii="Arial" w:eastAsia="PMingLiU" w:hAnsi="Arial" w:cs="Arial"/>
          <w:sz w:val="24"/>
          <w:szCs w:val="24"/>
        </w:rPr>
        <w:t xml:space="preserve"> </w:t>
      </w:r>
      <w:proofErr w:type="spellStart"/>
      <w:proofErr w:type="gramStart"/>
      <w:r w:rsidR="00BA6254" w:rsidRPr="00D10A7C">
        <w:rPr>
          <w:rFonts w:ascii="Arial" w:eastAsia="PMingLiU" w:hAnsi="Arial" w:cs="Arial"/>
          <w:sz w:val="24"/>
          <w:szCs w:val="24"/>
        </w:rPr>
        <w:t>以获得中文的帮助</w:t>
      </w:r>
      <w:proofErr w:type="spellEnd"/>
      <w:r w:rsidR="00264594">
        <w:rPr>
          <w:rFonts w:ascii="Arial" w:hAnsi="Arial" w:cs="Arial"/>
          <w:sz w:val="24"/>
          <w:szCs w:val="24"/>
        </w:rPr>
        <w:t>(</w:t>
      </w:r>
      <w:proofErr w:type="gramEnd"/>
      <w:r w:rsidR="00264594">
        <w:rPr>
          <w:rFonts w:ascii="Arial" w:hAnsi="Arial" w:cs="Arial"/>
          <w:sz w:val="24"/>
          <w:szCs w:val="24"/>
        </w:rPr>
        <w:t>916) 397-7448</w:t>
      </w:r>
    </w:p>
    <w:p w14:paraId="2FDFEC60" w14:textId="77777777" w:rsidR="00264594" w:rsidRDefault="00264594" w:rsidP="0092687A">
      <w:pPr>
        <w:spacing w:after="180"/>
        <w:rPr>
          <w:rFonts w:ascii="Arial" w:hAnsi="Arial" w:cs="Arial"/>
          <w:sz w:val="24"/>
          <w:szCs w:val="24"/>
        </w:rPr>
      </w:pPr>
    </w:p>
    <w:p w14:paraId="7D3636E6" w14:textId="77FD3E30" w:rsidR="002436C8" w:rsidRDefault="00D10A7C" w:rsidP="00264594">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64594">
        <w:rPr>
          <w:rFonts w:ascii="Arial" w:hAnsi="Arial" w:cs="Arial"/>
          <w:sz w:val="24"/>
          <w:szCs w:val="24"/>
        </w:rPr>
        <w:t>Porterville Mobile Village</w:t>
      </w:r>
      <w:r w:rsidR="00264594" w:rsidRPr="00D10A7C">
        <w:rPr>
          <w:rFonts w:ascii="Arial" w:hAnsi="Arial" w:cs="Arial"/>
          <w:sz w:val="24"/>
          <w:szCs w:val="24"/>
        </w:rPr>
        <w:t xml:space="preserve"> </w:t>
      </w:r>
      <w:proofErr w:type="spellStart"/>
      <w:r w:rsidR="008A64D8" w:rsidRPr="00D10A7C">
        <w:rPr>
          <w:rFonts w:ascii="Arial" w:hAnsi="Arial" w:cs="Arial"/>
          <w:sz w:val="24"/>
          <w:szCs w:val="24"/>
        </w:rPr>
        <w:t>o</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64594">
        <w:rPr>
          <w:rFonts w:ascii="Arial" w:hAnsi="Arial" w:cs="Arial"/>
          <w:sz w:val="24"/>
          <w:szCs w:val="24"/>
        </w:rPr>
        <w:t>(916) 397-7448</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947A1C3" w14:textId="77777777" w:rsidR="00264594" w:rsidRPr="00D10A7C" w:rsidRDefault="00264594" w:rsidP="00264594">
      <w:pPr>
        <w:rPr>
          <w:rFonts w:ascii="Arial" w:hAnsi="Arial" w:cs="Arial"/>
          <w:sz w:val="24"/>
          <w:szCs w:val="24"/>
        </w:rPr>
      </w:pPr>
    </w:p>
    <w:p w14:paraId="4C37EC14" w14:textId="3080E26B" w:rsidR="009D4211" w:rsidRDefault="0092687A" w:rsidP="00264594">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264594">
        <w:rPr>
          <w:rFonts w:ascii="Arial" w:hAnsi="Arial" w:cs="Arial"/>
          <w:sz w:val="24"/>
          <w:szCs w:val="24"/>
        </w:rPr>
        <w:t>Porterville Mobile Village</w:t>
      </w:r>
      <w:r w:rsidR="00264594"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264594">
        <w:rPr>
          <w:rFonts w:ascii="Arial" w:hAnsi="Arial" w:cs="Arial"/>
          <w:sz w:val="24"/>
          <w:szCs w:val="24"/>
        </w:rPr>
        <w:t xml:space="preserve">(916) 397-7448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5B7AF8E3" w14:textId="77777777" w:rsidR="00264594" w:rsidRPr="00D10A7C" w:rsidRDefault="00264594" w:rsidP="00264594">
      <w:pPr>
        <w:rPr>
          <w:rFonts w:ascii="Arial" w:hAnsi="Arial" w:cs="Arial"/>
          <w:sz w:val="24"/>
          <w:szCs w:val="24"/>
        </w:rPr>
      </w:pPr>
    </w:p>
    <w:p w14:paraId="76F47AA3" w14:textId="7B1EF176" w:rsidR="006537F6" w:rsidRPr="00D10A7C" w:rsidRDefault="0092687A" w:rsidP="00264594">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64594">
        <w:rPr>
          <w:rFonts w:ascii="Arial" w:hAnsi="Arial" w:cs="Arial"/>
          <w:sz w:val="24"/>
          <w:szCs w:val="24"/>
        </w:rPr>
        <w:t>Porterville Mobile Village</w:t>
      </w:r>
      <w:r w:rsidR="00264594"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64594">
        <w:rPr>
          <w:rFonts w:ascii="Arial" w:hAnsi="Arial" w:cs="Arial"/>
          <w:sz w:val="24"/>
          <w:szCs w:val="24"/>
        </w:rPr>
        <w:t>(916) 397-7448</w:t>
      </w:r>
      <w:r w:rsidR="006537F6" w:rsidRPr="00D10A7C">
        <w:rPr>
          <w:rFonts w:ascii="Arial" w:hAnsi="Arial" w:cs="Arial"/>
          <w:sz w:val="24"/>
          <w:szCs w:val="24"/>
        </w:rPr>
        <w:t xml:space="preserve">rau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77792B51" w:rsidR="008572DA" w:rsidRPr="005101E1" w:rsidRDefault="004834BA"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05F2F0E5" w:rsidR="00095AAC" w:rsidRPr="005101E1" w:rsidRDefault="004834BA"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CFAD336" w:rsidR="00015E3A" w:rsidRPr="005101E1" w:rsidRDefault="004834BA"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528B1EFF" w:rsidR="00015E3A" w:rsidRPr="005101E1" w:rsidRDefault="004834BA"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76418570" w:rsidR="005D48A3" w:rsidRPr="005101E1" w:rsidRDefault="004834BA"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553EC6F8" w:rsidR="009E4BDC" w:rsidRPr="005101E1" w:rsidRDefault="004834BA"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7E16C86" w:rsidR="008572DA" w:rsidRPr="005F082E" w:rsidRDefault="004834B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9/13/19</w:t>
            </w:r>
          </w:p>
        </w:tc>
        <w:tc>
          <w:tcPr>
            <w:tcW w:w="900" w:type="dxa"/>
            <w:tcMar>
              <w:left w:w="86" w:type="dxa"/>
              <w:right w:w="86" w:type="dxa"/>
            </w:tcMar>
          </w:tcPr>
          <w:p w14:paraId="102D5A02" w14:textId="7BCE6EEB" w:rsidR="008572DA" w:rsidRPr="005F082E" w:rsidRDefault="004834B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57BF3968" w:rsidR="008572DA" w:rsidRPr="005F082E" w:rsidRDefault="004834B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w:t>
            </w:r>
          </w:p>
        </w:tc>
        <w:tc>
          <w:tcPr>
            <w:tcW w:w="900" w:type="dxa"/>
            <w:tcMar>
              <w:left w:w="86" w:type="dxa"/>
              <w:right w:w="86" w:type="dxa"/>
            </w:tcMar>
          </w:tcPr>
          <w:p w14:paraId="308535F4" w14:textId="4500C6E2" w:rsidR="008572DA" w:rsidRPr="005F082E" w:rsidRDefault="004834B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1560AF22" w:rsidR="008572DA" w:rsidRPr="005F082E" w:rsidRDefault="004834BA"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92B71EF"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312A50F8" w:rsidR="00FC33C4" w:rsidRPr="005F082E" w:rsidRDefault="004834B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9/13/19</w:t>
            </w:r>
          </w:p>
        </w:tc>
        <w:tc>
          <w:tcPr>
            <w:tcW w:w="900" w:type="dxa"/>
            <w:tcMar>
              <w:left w:w="86" w:type="dxa"/>
              <w:right w:w="86" w:type="dxa"/>
            </w:tcMar>
          </w:tcPr>
          <w:p w14:paraId="42CEE2F3" w14:textId="5549F35D" w:rsidR="00FC33C4" w:rsidRPr="005F082E" w:rsidRDefault="004834B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110623A" w:rsidR="00FC33C4" w:rsidRPr="005F082E" w:rsidRDefault="004834B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.095</w:t>
            </w:r>
          </w:p>
        </w:tc>
        <w:tc>
          <w:tcPr>
            <w:tcW w:w="900" w:type="dxa"/>
            <w:tcMar>
              <w:left w:w="86" w:type="dxa"/>
              <w:right w:w="86" w:type="dxa"/>
            </w:tcMar>
          </w:tcPr>
          <w:p w14:paraId="1AE57BBF" w14:textId="3A8BB751" w:rsidR="00FC33C4" w:rsidRPr="005F082E" w:rsidRDefault="004834B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0413173" w:rsidR="00684C7E" w:rsidRPr="005F082E" w:rsidRDefault="004834B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3/25/21</w:t>
            </w:r>
          </w:p>
        </w:tc>
        <w:tc>
          <w:tcPr>
            <w:tcW w:w="1260" w:type="dxa"/>
            <w:tcMar>
              <w:left w:w="58" w:type="dxa"/>
              <w:right w:w="58" w:type="dxa"/>
            </w:tcMar>
          </w:tcPr>
          <w:p w14:paraId="690B0D1C" w14:textId="1D318F9D" w:rsidR="00684C7E" w:rsidRPr="005F082E" w:rsidRDefault="004834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115F382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6DF06B" w:rsidR="00684C7E" w:rsidRPr="005F082E" w:rsidRDefault="004834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3/25/21</w:t>
            </w:r>
          </w:p>
        </w:tc>
        <w:tc>
          <w:tcPr>
            <w:tcW w:w="1260" w:type="dxa"/>
            <w:tcMar>
              <w:left w:w="58" w:type="dxa"/>
              <w:right w:w="58" w:type="dxa"/>
            </w:tcMar>
          </w:tcPr>
          <w:p w14:paraId="5F571C45" w14:textId="5E3753C1" w:rsidR="00684C7E" w:rsidRPr="005F082E" w:rsidRDefault="004834B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143</w:t>
            </w:r>
          </w:p>
        </w:tc>
        <w:tc>
          <w:tcPr>
            <w:tcW w:w="1530" w:type="dxa"/>
            <w:tcMar>
              <w:left w:w="58" w:type="dxa"/>
              <w:right w:w="58" w:type="dxa"/>
            </w:tcMar>
          </w:tcPr>
          <w:p w14:paraId="2BE476FB" w14:textId="0B94ED25"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B1464C5" w:rsidR="00512D8C" w:rsidRPr="005F082E" w:rsidRDefault="004834B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68D39762" w:rsidR="00512D8C" w:rsidRPr="005F082E" w:rsidRDefault="004834B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3/25/21</w:t>
            </w:r>
          </w:p>
        </w:tc>
        <w:tc>
          <w:tcPr>
            <w:tcW w:w="1260" w:type="dxa"/>
          </w:tcPr>
          <w:p w14:paraId="1BD7CABC" w14:textId="3D66774B" w:rsidR="00512D8C" w:rsidRPr="005F082E" w:rsidRDefault="004834B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40895B2C" w14:textId="1EFB50A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AAF122E" w:rsidR="00512D8C" w:rsidRPr="005F082E" w:rsidRDefault="004834B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FF3A975" w:rsidR="00512D8C" w:rsidRPr="005F082E" w:rsidRDefault="004834B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4210E85C" w:rsidR="00512D8C" w:rsidRPr="005F082E" w:rsidRDefault="004834B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6E43605" w:rsidR="00244938" w:rsidRPr="005F082E" w:rsidRDefault="004834B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1F4CA293" w:rsidR="00244938" w:rsidRPr="005F082E" w:rsidRDefault="004834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3/25/21</w:t>
            </w:r>
          </w:p>
        </w:tc>
        <w:tc>
          <w:tcPr>
            <w:tcW w:w="1260" w:type="dxa"/>
          </w:tcPr>
          <w:p w14:paraId="7CAF39D9" w14:textId="22D1518D" w:rsidR="00244938" w:rsidRPr="005F082E" w:rsidRDefault="004834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53325208"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301A84D" w:rsidR="00244938" w:rsidRPr="005F082E" w:rsidRDefault="004834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CE13554" w:rsidR="00244938" w:rsidRPr="005F082E" w:rsidRDefault="004834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931" w:type="dxa"/>
          </w:tcPr>
          <w:p w14:paraId="701F5E75" w14:textId="1AC9CC8C" w:rsidR="00244938" w:rsidRPr="005F082E" w:rsidRDefault="004834B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sidR="00785019">
              <w:rPr>
                <w:rFonts w:ascii="Arial" w:hAnsi="Arial" w:cs="Arial"/>
                <w:color w:val="000000" w:themeColor="text1"/>
                <w:sz w:val="24"/>
                <w:szCs w:val="24"/>
              </w:rPr>
              <w:lastRenderedPageBreak/>
              <w:t>deposits</w:t>
            </w:r>
            <w:r>
              <w:rPr>
                <w:rFonts w:ascii="Arial" w:hAnsi="Arial" w:cs="Arial"/>
                <w:color w:val="000000" w:themeColor="text1"/>
                <w:sz w:val="24"/>
                <w:szCs w:val="24"/>
              </w:rPr>
              <w:t>; runoff from orchards;</w:t>
            </w:r>
            <w:r w:rsidR="00785019">
              <w:rPr>
                <w:rFonts w:ascii="Arial" w:hAnsi="Arial" w:cs="Arial"/>
                <w:color w:val="000000" w:themeColor="text1"/>
                <w:sz w:val="24"/>
                <w:szCs w:val="24"/>
              </w:rPr>
              <w:t xml:space="preserve"> glass and electronics production wastes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8DEC1C8" w:rsidR="00086BEB" w:rsidRPr="005F082E" w:rsidRDefault="0078501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5EB872C2"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3/25/21</w:t>
            </w:r>
          </w:p>
        </w:tc>
        <w:tc>
          <w:tcPr>
            <w:tcW w:w="1260" w:type="dxa"/>
          </w:tcPr>
          <w:p w14:paraId="5D465B29" w14:textId="0518EBE3"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240</w:t>
            </w:r>
          </w:p>
        </w:tc>
        <w:tc>
          <w:tcPr>
            <w:tcW w:w="1530" w:type="dxa"/>
          </w:tcPr>
          <w:p w14:paraId="6F2413BA" w14:textId="281E148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5615D130"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1E06F0B6"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BDB1876"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2BD8AAEF" w:rsidR="00086BEB" w:rsidRPr="005F082E" w:rsidRDefault="0078501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13425507" w14:textId="3A225310"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3/25/21</w:t>
            </w:r>
          </w:p>
        </w:tc>
        <w:tc>
          <w:tcPr>
            <w:tcW w:w="1260" w:type="dxa"/>
          </w:tcPr>
          <w:p w14:paraId="72C49EEB" w14:textId="111B9AE9"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382</w:t>
            </w:r>
          </w:p>
        </w:tc>
        <w:tc>
          <w:tcPr>
            <w:tcW w:w="1530" w:type="dxa"/>
          </w:tcPr>
          <w:p w14:paraId="7C11921B" w14:textId="6B129EC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C3C7BB0"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6762009A"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5160E12" w:rsidR="00086BEB" w:rsidRPr="005F082E" w:rsidRDefault="007850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3610C25E" w14:textId="6A1943B3" w:rsidR="00636BFA" w:rsidRPr="00F64938" w:rsidRDefault="0020216E" w:rsidP="000274A3">
      <w:pPr>
        <w:spacing w:after="240"/>
        <w:rPr>
          <w:rFonts w:ascii="Arial" w:hAnsi="Arial" w:cs="Arial"/>
          <w:sz w:val="24"/>
          <w:szCs w:val="24"/>
          <w:highlight w:val="yellow"/>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p w14:paraId="3BEABB98" w14:textId="77777777" w:rsidR="001E07A6" w:rsidRDefault="001E07A6" w:rsidP="001E07A6">
      <w:pPr>
        <w:pStyle w:val="ListParagraph"/>
        <w:numPr>
          <w:ilvl w:val="0"/>
          <w:numId w:val="0"/>
        </w:numPr>
        <w:ind w:left="720"/>
      </w:pPr>
    </w:p>
    <w:sectPr w:rsidR="001E07A6"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0290" w14:textId="77777777" w:rsidR="00650436" w:rsidRDefault="00650436">
      <w:r>
        <w:separator/>
      </w:r>
    </w:p>
    <w:p w14:paraId="64DE0F0C" w14:textId="77777777" w:rsidR="00650436" w:rsidRDefault="00650436"/>
  </w:endnote>
  <w:endnote w:type="continuationSeparator" w:id="0">
    <w:p w14:paraId="75DB4D1F" w14:textId="77777777" w:rsidR="00650436" w:rsidRDefault="00650436">
      <w:r>
        <w:continuationSeparator/>
      </w:r>
    </w:p>
    <w:p w14:paraId="792A886F" w14:textId="77777777" w:rsidR="00650436" w:rsidRDefault="00650436"/>
  </w:endnote>
  <w:endnote w:type="continuationNotice" w:id="1">
    <w:p w14:paraId="58371766" w14:textId="77777777" w:rsidR="00650436" w:rsidRDefault="00650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B631" w14:textId="77777777" w:rsidR="00650436" w:rsidRDefault="00650436">
      <w:r>
        <w:separator/>
      </w:r>
    </w:p>
    <w:p w14:paraId="3A6245FA" w14:textId="77777777" w:rsidR="00650436" w:rsidRDefault="00650436"/>
  </w:footnote>
  <w:footnote w:type="continuationSeparator" w:id="0">
    <w:p w14:paraId="4FB1CCBE" w14:textId="77777777" w:rsidR="00650436" w:rsidRDefault="00650436">
      <w:r>
        <w:continuationSeparator/>
      </w:r>
    </w:p>
    <w:p w14:paraId="73087FA5" w14:textId="77777777" w:rsidR="00650436" w:rsidRDefault="00650436"/>
  </w:footnote>
  <w:footnote w:type="continuationNotice" w:id="1">
    <w:p w14:paraId="66CC690D" w14:textId="77777777" w:rsidR="00650436" w:rsidRDefault="00650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74A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3766"/>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1AD"/>
    <w:rsid w:val="0025569C"/>
    <w:rsid w:val="00256496"/>
    <w:rsid w:val="00264594"/>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34B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0436"/>
    <w:rsid w:val="00650624"/>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019"/>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2022-06-22T01:43:00Z</dcterms:created>
  <dcterms:modified xsi:type="dcterms:W3CDTF">2022-06-28T23:29:00Z</dcterms:modified>
</cp:coreProperties>
</file>