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0" w:after="0"/>
        <w:jc w:val="center"/>
        <w:rPr/>
      </w:pPr>
      <w:bookmarkStart w:id="0" w:name="_Toc58336712"/>
      <w:r>
        <w:rPr/>
        <w:t>2022 Consumer Confidence Report</w:t>
      </w:r>
      <w:bookmarkEnd w:id="0"/>
    </w:p>
    <w:p>
      <w:pPr>
        <w:pStyle w:val="Heading2"/>
        <w:rPr/>
      </w:pPr>
      <w:bookmarkStart w:id="1" w:name="_Toc58336713"/>
      <w:r>
        <w:rPr/>
        <w:t>Water System Information</w:t>
      </w:r>
      <w:bookmarkEnd w:id="1"/>
    </w:p>
    <w:p>
      <w:pPr>
        <w:pStyle w:val="Normal"/>
        <w:spacing w:before="0" w:after="240"/>
        <w:rPr>
          <w:rFonts w:ascii="Arial" w:hAnsi="Arial" w:cs="Arial"/>
          <w:sz w:val="24"/>
          <w:szCs w:val="24"/>
        </w:rPr>
      </w:pPr>
      <w:r>
        <w:rPr>
          <w:rFonts w:cs="Arial" w:ascii="Arial" w:hAnsi="Arial"/>
          <w:sz w:val="24"/>
          <w:szCs w:val="24"/>
        </w:rPr>
        <w:t>Water System Name: Kelly Mutual Water Company</w:t>
      </w:r>
    </w:p>
    <w:p>
      <w:pPr>
        <w:pStyle w:val="Normal"/>
        <w:spacing w:before="0" w:after="240"/>
        <w:rPr>
          <w:rFonts w:ascii="Arial" w:hAnsi="Arial" w:cs="Arial"/>
          <w:sz w:val="24"/>
          <w:szCs w:val="24"/>
        </w:rPr>
      </w:pPr>
      <w:r>
        <w:rPr>
          <w:rFonts w:cs="Arial" w:ascii="Arial" w:hAnsi="Arial"/>
          <w:sz w:val="24"/>
          <w:szCs w:val="24"/>
        </w:rPr>
        <w:t>Report Date: 6/29/22</w:t>
      </w:r>
    </w:p>
    <w:p>
      <w:pPr>
        <w:pStyle w:val="Normal"/>
        <w:spacing w:before="0" w:after="240"/>
        <w:rPr>
          <w:rFonts w:ascii="Arial" w:hAnsi="Arial" w:cs="Arial"/>
          <w:sz w:val="24"/>
          <w:szCs w:val="24"/>
        </w:rPr>
      </w:pPr>
      <w:r>
        <w:rPr>
          <w:rFonts w:cs="Arial" w:ascii="Arial" w:hAnsi="Arial"/>
          <w:sz w:val="24"/>
          <w:szCs w:val="24"/>
        </w:rPr>
        <w:t>Type of Water Source(s) in Use: groundwater</w:t>
      </w:r>
    </w:p>
    <w:p>
      <w:pPr>
        <w:pStyle w:val="Normal"/>
        <w:spacing w:before="0" w:after="240"/>
        <w:rPr>
          <w:rFonts w:ascii="Arial" w:hAnsi="Arial" w:cs="Arial"/>
          <w:sz w:val="24"/>
          <w:szCs w:val="24"/>
        </w:rPr>
      </w:pPr>
      <w:r>
        <w:rPr>
          <w:rFonts w:cs="Arial" w:ascii="Arial" w:hAnsi="Arial"/>
          <w:sz w:val="24"/>
          <w:szCs w:val="24"/>
        </w:rPr>
        <w:t>Name and General Location of Source(s): Kelly subdivision Well 01, well 02</w:t>
      </w:r>
    </w:p>
    <w:p>
      <w:pPr>
        <w:pStyle w:val="Normal"/>
        <w:spacing w:before="0" w:after="240"/>
        <w:rPr>
          <w:rFonts w:ascii="Arial" w:hAnsi="Arial" w:cs="Arial"/>
          <w:sz w:val="24"/>
          <w:szCs w:val="24"/>
        </w:rPr>
      </w:pPr>
      <w:r>
        <w:rPr>
          <w:rFonts w:cs="Arial" w:ascii="Arial" w:hAnsi="Arial"/>
          <w:sz w:val="24"/>
          <w:szCs w:val="24"/>
        </w:rPr>
        <w:t xml:space="preserve">Drinking Water Source Assessment Information: </w:t>
      </w:r>
      <w:r>
        <w:rPr>
          <w:rFonts w:cs="sans-serif;Arial" w:ascii="sans-serif;Arial" w:hAnsi="sans-serif;Arial"/>
          <w:sz w:val="27"/>
          <w:szCs w:val="24"/>
        </w:rPr>
        <w:t>Conducted January 2002 by Calif Dept of Health Services,reviewed Aug 2022 by Bernie Hovden The source is considered most vulnerable to the following activities not associated with any detected contaminants:</w:t>
      </w:r>
      <w:r>
        <w:rPr>
          <w:rFonts w:cs="serif" w:ascii="serif" w:hAnsi="serif"/>
          <w:sz w:val="27"/>
          <w:szCs w:val="24"/>
        </w:rPr>
        <w:t>Junk/scrap/salvage yards Lumber processing and manufacturing Machine shops Sewer collection systems</w:t>
      </w:r>
      <w:r>
        <w:rPr>
          <w:rFonts w:cs="Arial" w:ascii="Arial" w:hAnsi="Arial"/>
          <w:sz w:val="24"/>
          <w:szCs w:val="24"/>
        </w:rPr>
        <w:t xml:space="preserve"> </w:t>
      </w:r>
      <w:r>
        <w:rPr>
          <w:rFonts w:cs="serif" w:ascii="serif" w:hAnsi="serif"/>
          <w:sz w:val="27"/>
          <w:szCs w:val="24"/>
        </w:rPr>
        <w:t>There have been no contaminants detected in the water supply, however the source is still considered vulnerable to activities located near the drinking water source.</w:t>
      </w:r>
      <w:r>
        <w:rPr>
          <w:rFonts w:cs="Arial" w:ascii="Arial" w:hAnsi="Arial"/>
          <w:sz w:val="24"/>
          <w:szCs w:val="24"/>
        </w:rPr>
        <w:t xml:space="preserve"> </w:t>
      </w:r>
    </w:p>
    <w:p>
      <w:pPr>
        <w:pStyle w:val="Normal"/>
        <w:spacing w:before="0" w:after="240"/>
        <w:rPr>
          <w:rFonts w:ascii="Arial" w:hAnsi="Arial" w:cs="Arial"/>
          <w:sz w:val="24"/>
          <w:szCs w:val="24"/>
        </w:rPr>
      </w:pPr>
      <w:r>
        <w:rPr>
          <w:rFonts w:cs="Arial" w:ascii="Arial" w:hAnsi="Arial"/>
          <w:sz w:val="24"/>
          <w:szCs w:val="24"/>
        </w:rPr>
        <w:t xml:space="preserve">Time and Place of Regularly Scheduled Board Meetings for Public Participation: </w:t>
      </w:r>
      <w:r>
        <w:rPr>
          <w:rFonts w:cs="serif" w:ascii="serif" w:hAnsi="serif"/>
          <w:sz w:val="27"/>
          <w:szCs w:val="24"/>
          <w:lang w:val="es-ES"/>
        </w:rPr>
        <w:t>Jan, Apr, July, Oct in the neighborhood. Contact a board member for details. Meeting notice with agenda posted at entrance to neighborhood prior to meeting</w:t>
      </w:r>
      <w:r>
        <w:rPr>
          <w:rFonts w:cs="Arial" w:ascii="Arial" w:hAnsi="Arial"/>
          <w:sz w:val="24"/>
          <w:szCs w:val="24"/>
          <w:lang w:val="es-ES"/>
        </w:rPr>
        <w:t xml:space="preserve"> </w:t>
      </w:r>
    </w:p>
    <w:p>
      <w:pPr>
        <w:pStyle w:val="Normal"/>
        <w:rPr>
          <w:rFonts w:ascii="Arial" w:hAnsi="Arial" w:cs="Arial"/>
          <w:sz w:val="24"/>
          <w:szCs w:val="24"/>
        </w:rPr>
      </w:pPr>
      <w:r>
        <w:rPr>
          <w:rFonts w:cs="Arial" w:ascii="Arial" w:hAnsi="Arial"/>
          <w:sz w:val="24"/>
          <w:szCs w:val="24"/>
        </w:rPr>
        <w:t>For More Information, Contact: Bernie Hovden 707-829-3824</w:t>
      </w:r>
    </w:p>
    <w:p>
      <w:pPr>
        <w:pStyle w:val="Heading2"/>
        <w:rPr/>
      </w:pPr>
      <w:bookmarkStart w:id="2" w:name="_Toc58336714"/>
      <w:r>
        <w:rPr/>
        <w:t>About This Report</w:t>
      </w:r>
      <w:bookmarkEnd w:id="2"/>
    </w:p>
    <w:p>
      <w:pPr>
        <w:pStyle w:val="Normal"/>
        <w:rPr>
          <w:rFonts w:ascii="Arial" w:hAnsi="Arial" w:cs="Arial"/>
          <w:sz w:val="24"/>
          <w:szCs w:val="24"/>
        </w:rPr>
      </w:pPr>
      <w:r>
        <w:rPr>
          <w:rFonts w:cs="Arial" w:ascii="Arial" w:hAnsi="Arial"/>
          <w:sz w:val="24"/>
          <w:szCs w:val="24"/>
        </w:rPr>
        <w:t>We test the drinking water quality for many constituents as required by state and federal regulations.  This report shows the results of our monitoring for the period of January 1 to December 31, 2022 and may include earlier monitoring data.</w:t>
      </w:r>
    </w:p>
    <w:p>
      <w:pPr>
        <w:pStyle w:val="Heading2"/>
        <w:rPr/>
      </w:pPr>
      <w:r>
        <w:rPr/>
        <w:t>Importance of This Report Statement in Five Non-English Languages (Spanish, Mandarin, Tagalog, Vietnamese, and Hmong)</w:t>
      </w:r>
    </w:p>
    <w:p>
      <w:pPr>
        <w:pStyle w:val="Normal"/>
        <w:spacing w:before="0" w:after="180"/>
        <w:rPr>
          <w:rFonts w:ascii="Arial" w:hAnsi="Arial" w:cs="Arial"/>
          <w:sz w:val="24"/>
          <w:szCs w:val="24"/>
          <w:lang w:val="es-MX"/>
        </w:rPr>
      </w:pPr>
      <w:r>
        <w:rPr>
          <w:rFonts w:cs="Arial" w:ascii="Arial" w:hAnsi="Arial"/>
          <w:sz w:val="24"/>
          <w:szCs w:val="24"/>
        </w:rPr>
        <w:t>Language in Spanish</w:t>
      </w:r>
      <w:r>
        <w:rPr>
          <w:rFonts w:cs="Arial" w:ascii="Arial" w:hAnsi="Arial"/>
          <w:sz w:val="24"/>
          <w:szCs w:val="24"/>
          <w:lang w:val="es-MX"/>
        </w:rPr>
        <w:t xml:space="preserve">:  Este informe contiene información muy importante sobre su agua para beber.  Favor de comunicarse </w:t>
      </w:r>
      <w:r>
        <w:rPr>
          <w:rFonts w:cs="Arial" w:ascii="Arial" w:hAnsi="Arial"/>
          <w:sz w:val="24"/>
          <w:szCs w:val="24"/>
          <w:lang w:val="en-US"/>
        </w:rPr>
        <w:t>Kelly Mutual Water Company</w:t>
      </w:r>
      <w:r>
        <w:rPr>
          <w:rFonts w:cs="Arial" w:ascii="Arial" w:hAnsi="Arial"/>
          <w:sz w:val="24"/>
          <w:szCs w:val="24"/>
          <w:lang w:val="es-MX"/>
        </w:rPr>
        <w:t xml:space="preserve"> a [</w:t>
      </w:r>
      <w:r>
        <w:rPr>
          <w:rFonts w:cs="Arial" w:ascii="Arial" w:hAnsi="Arial"/>
          <w:sz w:val="24"/>
          <w:szCs w:val="24"/>
          <w:lang w:val="en-US"/>
        </w:rPr>
        <w:t xml:space="preserve">1430 Industrial Ave Sebastopol 707-829-3824 </w:t>
      </w:r>
      <w:r>
        <w:rPr>
          <w:rFonts w:cs="Arial" w:ascii="Arial" w:hAnsi="Arial"/>
          <w:sz w:val="24"/>
          <w:szCs w:val="24"/>
          <w:lang w:val="es-MX"/>
        </w:rPr>
        <w:t>para asistirlo en español.</w:t>
      </w:r>
    </w:p>
    <w:p>
      <w:pPr>
        <w:pStyle w:val="Normal"/>
        <w:spacing w:before="0" w:after="180"/>
        <w:rPr>
          <w:rFonts w:ascii="Arial" w:hAnsi="Arial" w:eastAsia="PMingLiU" w:cs="Arial"/>
          <w:sz w:val="24"/>
          <w:szCs w:val="24"/>
        </w:rPr>
      </w:pPr>
      <w:r>
        <w:rPr>
          <w:rFonts w:eastAsia="PMingLiU" w:cs="Arial" w:ascii="Arial" w:hAnsi="Arial"/>
          <w:sz w:val="24"/>
          <w:szCs w:val="24"/>
        </w:rPr>
        <w:t>Language in Mandarin</w:t>
      </w:r>
      <w:r>
        <w:rPr>
          <w:rFonts w:eastAsia="PMingLiU" w:cs="Arial" w:ascii="Arial" w:hAnsi="Arial"/>
          <w:sz w:val="24"/>
          <w:szCs w:val="24"/>
          <w:lang w:val="es-MX"/>
        </w:rPr>
        <w:t xml:space="preserve">:  </w:t>
      </w:r>
      <w:r>
        <w:rPr>
          <w:rFonts w:ascii="SimSun" w:hAnsi="SimSun" w:cs="Arial" w:eastAsia="SimSun"/>
          <w:sz w:val="24"/>
          <w:szCs w:val="24"/>
          <w:lang w:eastAsia="zh-CN"/>
        </w:rPr>
        <w:t>这份报告含有关于您的饮用水的重要讯息。请用以下地址和电话联系</w:t>
      </w:r>
      <w:r>
        <w:rPr>
          <w:rFonts w:ascii="Arial" w:hAnsi="Arial" w:cs="Arial" w:eastAsia="PMingLiU"/>
          <w:sz w:val="24"/>
          <w:szCs w:val="24"/>
        </w:rPr>
        <w:t xml:space="preserve"> </w:t>
      </w:r>
      <w:r>
        <w:rPr>
          <w:rFonts w:eastAsia="PMingLiU" w:cs="Arial" w:ascii="Arial" w:hAnsi="Arial"/>
          <w:sz w:val="24"/>
          <w:szCs w:val="24"/>
        </w:rPr>
        <w:t>[Enter Water System Name]</w:t>
      </w:r>
      <w:r>
        <w:rPr>
          <w:rFonts w:ascii="SimSun" w:hAnsi="SimSun" w:cs="Arial" w:eastAsia="SimSun"/>
          <w:sz w:val="24"/>
          <w:szCs w:val="24"/>
          <w:lang w:eastAsia="zh-CN"/>
        </w:rPr>
        <w:t>以获得中文的帮助</w:t>
      </w:r>
      <w:r>
        <w:rPr>
          <w:rFonts w:eastAsia="SimSun" w:cs="Arial" w:ascii="SimSun" w:hAnsi="SimSun"/>
          <w:sz w:val="24"/>
          <w:szCs w:val="24"/>
        </w:rPr>
        <w:t>:</w:t>
      </w:r>
      <w:r>
        <w:rPr>
          <w:rFonts w:eastAsia="PMingLiU" w:cs="Arial" w:ascii="Arial" w:hAnsi="Arial"/>
          <w:sz w:val="24"/>
          <w:szCs w:val="24"/>
        </w:rPr>
        <w:t xml:space="preserve"> [Enter Water System’s Address][Enter Water System’s Phone Number].</w:t>
      </w:r>
    </w:p>
    <w:p>
      <w:pPr>
        <w:pStyle w:val="Normal"/>
        <w:spacing w:before="0" w:after="180"/>
        <w:rPr>
          <w:rFonts w:ascii="Arial" w:hAnsi="Arial" w:cs="Arial"/>
          <w:sz w:val="24"/>
          <w:szCs w:val="24"/>
        </w:rPr>
      </w:pPr>
      <w:r>
        <w:rPr>
          <w:rFonts w:cs="Arial" w:ascii="Arial" w:hAnsi="Arial"/>
          <w:sz w:val="24"/>
          <w:szCs w:val="24"/>
        </w:rPr>
        <w:t xml:space="preserve">Language in Tagalog: </w:t>
      </w:r>
      <w:r>
        <w:rPr>
          <w:rFonts w:cs="Arial" w:ascii="Arial" w:hAnsi="Arial"/>
          <w:sz w:val="24"/>
          <w:szCs w:val="24"/>
          <w:lang w:val="fil-PH"/>
        </w:rPr>
        <w:t>Ang pag-uulat na ito ay naglalaman ng mahalagang impormasyon tungkol sa inyong inuming tubig.  Mangyaring makipag-ugnayan sa</w:t>
      </w:r>
      <w:r>
        <w:rPr>
          <w:rFonts w:cs="Arial" w:ascii="Arial" w:hAnsi="Arial"/>
          <w:sz w:val="24"/>
          <w:szCs w:val="24"/>
        </w:rPr>
        <w:t xml:space="preserve"> [Enter Water System’s Name and Address] o </w:t>
      </w:r>
      <w:r>
        <w:rPr>
          <w:rFonts w:cs="Arial" w:ascii="Arial" w:hAnsi="Arial"/>
          <w:sz w:val="24"/>
          <w:szCs w:val="24"/>
          <w:lang w:val="fil-PH"/>
        </w:rPr>
        <w:t>tumawag sa</w:t>
      </w:r>
      <w:r>
        <w:rPr>
          <w:rFonts w:cs="Arial" w:ascii="Arial" w:hAnsi="Arial"/>
          <w:sz w:val="24"/>
          <w:szCs w:val="24"/>
        </w:rPr>
        <w:t xml:space="preserve"> [Enter Water System’s Phone Number] </w:t>
      </w:r>
      <w:r>
        <w:rPr>
          <w:rFonts w:cs="Arial" w:ascii="Arial" w:hAnsi="Arial"/>
          <w:sz w:val="24"/>
          <w:szCs w:val="24"/>
          <w:lang w:val="fil-PH"/>
        </w:rPr>
        <w:t>para matulungan sa wikang Tagalog</w:t>
      </w:r>
      <w:r>
        <w:rPr>
          <w:rFonts w:cs="Arial" w:ascii="Arial" w:hAnsi="Arial"/>
          <w:sz w:val="24"/>
          <w:szCs w:val="24"/>
        </w:rPr>
        <w:t>.</w:t>
      </w:r>
    </w:p>
    <w:p>
      <w:pPr>
        <w:pStyle w:val="Normal"/>
        <w:spacing w:before="0" w:after="180"/>
        <w:rPr>
          <w:rFonts w:ascii="Arial" w:hAnsi="Arial" w:cs="Arial"/>
          <w:sz w:val="24"/>
          <w:szCs w:val="24"/>
        </w:rPr>
      </w:pPr>
      <w:r>
        <w:rPr>
          <w:rFonts w:cs="Arial" w:ascii="Arial" w:hAnsi="Arial"/>
          <w:sz w:val="24"/>
          <w:szCs w:val="24"/>
        </w:rPr>
        <w:t>Language in Vietnamese</w:t>
      </w:r>
      <w:r>
        <w:rPr>
          <w:rFonts w:cs="Arial" w:ascii="Arial" w:hAnsi="Arial"/>
          <w:sz w:val="24"/>
          <w:szCs w:val="24"/>
          <w:lang w:val="vi-VN"/>
        </w:rPr>
        <w:t xml:space="preserve">:  Báo cáo này chứa thông tin quan trọng về nước uống của bạn.  Xin vui lòng liên hệ </w:t>
      </w:r>
      <w:r>
        <w:rPr>
          <w:rFonts w:cs="Arial" w:ascii="Arial" w:hAnsi="Arial"/>
          <w:sz w:val="24"/>
          <w:szCs w:val="24"/>
        </w:rPr>
        <w:t>[Enter</w:t>
      </w:r>
      <w:r>
        <w:rPr>
          <w:rFonts w:eastAsia="PMingLiU" w:cs="Arial" w:ascii="Arial" w:hAnsi="Arial"/>
          <w:sz w:val="24"/>
          <w:szCs w:val="24"/>
        </w:rPr>
        <w:t xml:space="preserve"> Water System’s Name</w:t>
      </w:r>
      <w:r>
        <w:rPr>
          <w:rFonts w:cs="Arial" w:ascii="Arial" w:hAnsi="Arial"/>
          <w:sz w:val="24"/>
          <w:szCs w:val="24"/>
        </w:rPr>
        <w:t xml:space="preserve">] </w:t>
      </w:r>
      <w:r>
        <w:rPr>
          <w:rFonts w:cs="Arial" w:ascii="Arial" w:hAnsi="Arial"/>
          <w:sz w:val="24"/>
          <w:szCs w:val="24"/>
          <w:lang w:val="vi-VN"/>
        </w:rPr>
        <w:t>tại</w:t>
      </w:r>
      <w:r>
        <w:rPr>
          <w:rFonts w:cs="Arial" w:ascii="Arial" w:hAnsi="Arial"/>
          <w:sz w:val="24"/>
          <w:szCs w:val="24"/>
        </w:rPr>
        <w:t xml:space="preserve"> [Enter Water System’s Address or Phone Number] </w:t>
      </w:r>
      <w:r>
        <w:rPr>
          <w:rFonts w:cs="Arial" w:ascii="Arial" w:hAnsi="Arial"/>
          <w:sz w:val="24"/>
          <w:szCs w:val="24"/>
          <w:lang w:val="vi-VN"/>
        </w:rPr>
        <w:t>để được hỗ trợ giúp bằng tiếng Việt.</w:t>
      </w:r>
    </w:p>
    <w:p>
      <w:pPr>
        <w:pStyle w:val="Normal"/>
        <w:spacing w:before="0" w:after="180"/>
        <w:rPr>
          <w:rFonts w:ascii="Arial" w:hAnsi="Arial" w:cs="Arial"/>
          <w:sz w:val="24"/>
          <w:szCs w:val="24"/>
        </w:rPr>
      </w:pPr>
      <w:r>
        <w:rPr>
          <w:rFonts w:cs="Arial" w:ascii="Arial" w:hAnsi="Arial"/>
          <w:sz w:val="24"/>
          <w:szCs w:val="24"/>
        </w:rPr>
        <w:t>Language in Hmong:  Tsab ntawv no muaj cov ntsiab lus tseem ceeb txog koj cov dej haus.  Thov hu rau [Enter</w:t>
      </w:r>
      <w:r>
        <w:rPr>
          <w:rFonts w:eastAsia="PMingLiU" w:cs="Arial" w:ascii="Arial" w:hAnsi="Arial"/>
          <w:sz w:val="24"/>
          <w:szCs w:val="24"/>
        </w:rPr>
        <w:t xml:space="preserve"> Water System’s Name</w:t>
      </w:r>
      <w:r>
        <w:rPr>
          <w:rFonts w:cs="Arial" w:ascii="Arial" w:hAnsi="Arial"/>
          <w:sz w:val="24"/>
          <w:szCs w:val="24"/>
        </w:rPr>
        <w:t>] ntawm [Enter Water System’s Address or Phone Number ] rau kev pab hauv lus Askiv.</w:t>
      </w:r>
    </w:p>
    <w:p>
      <w:pPr>
        <w:pStyle w:val="Heading2"/>
        <w:spacing w:before="0" w:after="40"/>
        <w:rPr/>
      </w:pPr>
      <w:bookmarkStart w:id="3" w:name="_Toc58336715"/>
      <w:r>
        <w:rPr/>
        <w:t>Terms Used in This Report</w:t>
      </w:r>
      <w:bookmarkEnd w:id="3"/>
    </w:p>
    <w:tbl>
      <w:tblPr>
        <w:tblStyle w:val="TableGrid"/>
        <w:tblW w:w="10790" w:type="dxa"/>
        <w:jc w:val="left"/>
        <w:tblInd w:w="0" w:type="dxa"/>
        <w:tblLayout w:type="fixed"/>
        <w:tblCellMar>
          <w:top w:w="43" w:type="dxa"/>
          <w:left w:w="108" w:type="dxa"/>
          <w:bottom w:w="43" w:type="dxa"/>
          <w:right w:w="108" w:type="dxa"/>
        </w:tblCellMar>
        <w:tblLook w:firstRow="1" w:noVBand="1" w:lastRow="0" w:firstColumn="1" w:lastColumn="0" w:noHBand="0" w:val="04a0"/>
      </w:tblPr>
      <w:tblGrid>
        <w:gridCol w:w="2695"/>
        <w:gridCol w:w="8094"/>
      </w:tblGrid>
      <w:tr>
        <w:trPr>
          <w:tblHeader w:val="true"/>
          <w:trHeight w:val="226" w:hRule="atLeast"/>
        </w:trPr>
        <w:tc>
          <w:tcPr>
            <w:tcW w:w="2695" w:type="dxa"/>
            <w:tcBorders/>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Term</w:t>
            </w:r>
          </w:p>
        </w:tc>
        <w:tc>
          <w:tcPr>
            <w:tcW w:w="8094" w:type="dxa"/>
            <w:tcBorders/>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Definition</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Level 1 Assessment</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A Level 1 assessment is a study of the water system to identify potential problems and determine (if possible) why total coliform bacteria have been found in our water system.</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Level 2 Assessment</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 xml:space="preserve">A Level 2 assessment is a very detailed study of the water system to identify potential problems and determine (if possible) why an </w:t>
            </w:r>
            <w:r>
              <w:rPr>
                <w:rFonts w:eastAsia="Times New Roman" w:cs="Arial" w:ascii="Arial" w:hAnsi="Arial"/>
                <w:i/>
                <w:kern w:val="0"/>
                <w:sz w:val="24"/>
                <w:szCs w:val="24"/>
                <w:lang w:val="en-US" w:eastAsia="en-US" w:bidi="ar-SA"/>
              </w:rPr>
              <w:t>E. coli</w:t>
            </w:r>
            <w:r>
              <w:rPr>
                <w:rFonts w:eastAsia="Times New Roman" w:cs="Arial" w:ascii="Arial" w:hAnsi="Arial"/>
                <w:kern w:val="0"/>
                <w:sz w:val="24"/>
                <w:szCs w:val="24"/>
                <w:lang w:val="en-US" w:eastAsia="en-US" w:bidi="ar-SA"/>
              </w:rPr>
              <w:t xml:space="preserve"> MCL violation has occurred and/or why total coliform bacteria have been found in our water system on multiple occasions.</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Contaminant Level (MCL)</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highest level of a contaminant that is allowed in drinking water.  Primary MCLs are set as close to the PHGs (or MCLGs) as is economically and technologically feasible.  Secondary MCLs are set to protect the odor, taste, and appearance of drinking water.</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Contaminant Level Goal (MCLG)</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level of a contaminant in drinking water below which there is no known or expected risk to health.  MCLGs are set by the U.S. Environmental Protection Agency (U.S. EPA).</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Residual Disinfectant Level (MRDL)</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highest level of a disinfectant allowed in drinking water.  There is convincing evidence that addition of a disinfectant is necessary for control of microbial contaminants.</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Residual Disinfectant Level Goal (MRDLG)</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level of a drinking water disinfectant below which there is no known or expected risk to health.  MRDLGs do not reflect the benefits of the use of disinfectants to control microbial contaminants.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Primary Drinking Water Standards (PDWS)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MCLs and MRDLs for contaminants that affect health along with their monitoring and reporting requirements, and water treatment requirements.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Public Health Goal</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(PHG)</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The level of a contaminant in drinking water below which there is no known or expected risk to health.  PHGs are set by the California Environmental Protection Agency.</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Regulatory Action Level</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(AL)</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The concentration of a contaminant which, if exceeded, triggers treatment or other requirements that a water system must follow.</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Secondary Drinking Water Standards (SDWS)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MCLs for contaminants that affect taste, odor, or appearance of the drinking water.  Contaminants with SDWSs do not affect the health at the MCL levels.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Treatment Technique</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(TT)</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A required process intended to reduce the level of a contaminant in drinking water.</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Variances and Exemptions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Permissions from the State Water Resources Control Board (State Board) to exceed an MCL or not comply with a treatment technique under certain conditions.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ND</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Not detectable at testing limit.</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ppm</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million or milligrams per liter (mg/L)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ppb</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billion or micrograms per liter (µg/L)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ppt</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trillion or nanograms per liter (ng/L)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ppq</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quadrillion or picogram per liter (pg/L)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pCi/L</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picocuries per liter (a measure of radiation)</w:t>
            </w:r>
          </w:p>
        </w:tc>
      </w:tr>
    </w:tbl>
    <w:p>
      <w:pPr>
        <w:pStyle w:val="Heading2"/>
        <w:rPr/>
      </w:pPr>
      <w:bookmarkStart w:id="4" w:name="_Toc58336716"/>
      <w:r>
        <w:rPr/>
        <w:t>Sources of Drinking Water and Contaminants that May Be Present in Source Water</w:t>
      </w:r>
      <w:bookmarkEnd w:id="4"/>
    </w:p>
    <w:p>
      <w:pPr>
        <w:pStyle w:val="Normal"/>
        <w:spacing w:before="0" w:after="240"/>
        <w:rPr>
          <w:rFonts w:ascii="Arial" w:hAnsi="Arial" w:cs="Arial"/>
          <w:sz w:val="24"/>
          <w:szCs w:val="24"/>
        </w:rPr>
      </w:pPr>
      <w:r>
        <w:rPr>
          <w:rFonts w:cs="Arial" w:ascii="Arial" w:hAnsi="Arial"/>
          <w:bCs/>
          <w:sz w:val="24"/>
          <w:szCs w:val="24"/>
        </w:rPr>
        <w:t>The sources of drinking water (</w:t>
      </w:r>
      <w:r>
        <w:rPr>
          <w:rFonts w:cs="Arial" w:ascii="Arial" w:hAnsi="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Normal"/>
        <w:spacing w:before="0" w:after="240"/>
        <w:rPr>
          <w:rFonts w:ascii="Arial" w:hAnsi="Arial" w:cs="Arial"/>
          <w:bCs/>
          <w:sz w:val="24"/>
          <w:szCs w:val="24"/>
        </w:rPr>
      </w:pPr>
      <w:r>
        <w:rPr>
          <w:rFonts w:cs="Arial" w:ascii="Arial" w:hAnsi="Arial"/>
          <w:bCs/>
          <w:sz w:val="24"/>
          <w:szCs w:val="24"/>
        </w:rPr>
        <w:t>Contaminants that may be present in source water include:</w:t>
      </w:r>
    </w:p>
    <w:p>
      <w:pPr>
        <w:pStyle w:val="ListParagraph"/>
        <w:numPr>
          <w:ilvl w:val="0"/>
          <w:numId w:val="1"/>
        </w:numPr>
        <w:spacing w:before="0" w:after="240"/>
        <w:rPr/>
      </w:pPr>
      <w:r>
        <w:rPr/>
        <w:t>Microbial contaminants, such as viruses and bacteria, that may come from sewage treatment plants, septic systems, agricultural livestock operations, and wildlife.</w:t>
      </w:r>
    </w:p>
    <w:p>
      <w:pPr>
        <w:pStyle w:val="ListParagraph"/>
        <w:numPr>
          <w:ilvl w:val="0"/>
          <w:numId w:val="1"/>
        </w:numPr>
        <w:spacing w:before="0" w:after="240"/>
        <w:rPr/>
      </w:pPr>
      <w:r>
        <w:rPr/>
        <w:t>Inorganic contaminants, such as salts and metals, that can be naturally-occurring or result from urban stormwater runoff, industrial or domestic wastewater discharges, oil and gas production, mining, or farming.</w:t>
      </w:r>
    </w:p>
    <w:p>
      <w:pPr>
        <w:pStyle w:val="ListParagraph"/>
        <w:numPr>
          <w:ilvl w:val="0"/>
          <w:numId w:val="1"/>
        </w:numPr>
        <w:spacing w:before="0" w:after="240"/>
        <w:rPr/>
      </w:pPr>
      <w:r>
        <w:rPr/>
        <w:t>Pesticides and herbicides, that may come from a variety of sources such as agriculture, urban stormwater runoff, and residential uses.</w:t>
      </w:r>
    </w:p>
    <w:p>
      <w:pPr>
        <w:pStyle w:val="ListParagraph"/>
        <w:numPr>
          <w:ilvl w:val="0"/>
          <w:numId w:val="1"/>
        </w:numPr>
        <w:spacing w:before="0" w:after="240"/>
        <w:rPr/>
      </w:pPr>
      <w:r>
        <w:rPr/>
        <w:t>Organic chemical contaminants, including synthetic and volatile organic chemicals, that are byproducts of industrial processes and petroleum production, and can also come from gas stations, urban stormwater runoff, agricultural application, and septic systems.</w:t>
      </w:r>
    </w:p>
    <w:p>
      <w:pPr>
        <w:pStyle w:val="ListParagraph"/>
        <w:numPr>
          <w:ilvl w:val="0"/>
          <w:numId w:val="1"/>
        </w:numPr>
        <w:spacing w:before="0" w:after="0"/>
        <w:rPr/>
      </w:pPr>
      <w:r>
        <w:rPr/>
        <w:t>Radioactive contaminants, that can be naturally-occurring or be the result of oil and gas production and mining activities.</w:t>
      </w:r>
    </w:p>
    <w:p>
      <w:pPr>
        <w:pStyle w:val="Heading2"/>
        <w:rPr/>
      </w:pPr>
      <w:r>
        <w:rPr/>
        <w:t>Regulation of Drinking Water and Bottled Water Quality</w:t>
      </w:r>
    </w:p>
    <w:p>
      <w:pPr>
        <w:pStyle w:val="Normal"/>
        <w:rPr>
          <w:rFonts w:ascii="Arial" w:hAnsi="Arial" w:cs="Arial"/>
          <w:sz w:val="24"/>
          <w:szCs w:val="24"/>
        </w:rPr>
      </w:pPr>
      <w:r>
        <w:rPr>
          <w:rFonts w:cs="Arial" w:ascii="Arial" w:hAnsi="Arial"/>
          <w:bCs/>
          <w:sz w:val="24"/>
          <w:szCs w:val="24"/>
        </w:rPr>
        <w:t>In order to ensure that tap water is safe to drink,</w:t>
      </w:r>
      <w:r>
        <w:rPr>
          <w:rFonts w:cs="Arial" w:ascii="Arial" w:hAnsi="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pStyle w:val="Heading2"/>
        <w:rPr/>
      </w:pPr>
      <w:bookmarkStart w:id="5" w:name="_Toc58336717"/>
      <w:r>
        <w:rPr/>
        <w:t>About Your Drinking Water Quality</w:t>
      </w:r>
      <w:bookmarkEnd w:id="5"/>
    </w:p>
    <w:p>
      <w:pPr>
        <w:pStyle w:val="Heading3"/>
        <w:spacing w:before="120" w:after="120"/>
        <w:rPr>
          <w:color w:val="auto"/>
        </w:rPr>
      </w:pPr>
      <w:bookmarkStart w:id="6" w:name="_Toc58336718"/>
      <w:r>
        <w:rPr>
          <w:color w:val="auto"/>
        </w:rPr>
        <w:t>Drinking Water Contaminants Detected</w:t>
      </w:r>
      <w:bookmarkEnd w:id="6"/>
    </w:p>
    <w:p>
      <w:pPr>
        <w:pStyle w:val="Normal"/>
        <w:rPr>
          <w:rFonts w:ascii="Arial" w:hAnsi="Arial" w:cs="Arial"/>
          <w:sz w:val="24"/>
          <w:szCs w:val="24"/>
        </w:rPr>
      </w:pPr>
      <w:r>
        <w:rPr>
          <w:rFonts w:cs="Arial" w:ascii="Arial" w:hAnsi="Arial"/>
          <w:bCs/>
          <w:sz w:val="24"/>
          <w:szCs w:val="24"/>
        </w:rPr>
        <w:t>Tables 1, 2, 3, 4, 5, 6, and 8 list all of the drinking water contaminants that were detected during the most recent sampling for the constituent.</w:t>
      </w:r>
      <w:r>
        <w:rPr>
          <w:rFonts w:cs="Arial" w:ascii="Arial" w:hAnsi="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bookmarkStart w:id="7" w:name="_Hlk57994699"/>
      <w:bookmarkEnd w:id="7"/>
    </w:p>
    <w:p>
      <w:pPr>
        <w:pStyle w:val="Caption1"/>
        <w:rPr/>
      </w:pPr>
      <w:r>
        <w:rPr/>
        <w:t xml:space="preserve">Table </w:t>
      </w:r>
      <w:r>
        <w:rPr/>
        <w:fldChar w:fldCharType="begin"/>
      </w:r>
      <w:r>
        <w:rPr/>
        <w:instrText> SEQ Table \* ARABIC </w:instrText>
      </w:r>
      <w:r>
        <w:rPr/>
        <w:fldChar w:fldCharType="separate"/>
      </w:r>
      <w:r>
        <w:rPr/>
        <w:t>1</w:t>
      </w:r>
      <w:r>
        <w:rPr/>
        <w:fldChar w:fldCharType="end"/>
      </w:r>
      <w:r>
        <w:rPr/>
        <w:t>.  Sampling Results Showing the Detection of Coliform Bacteria</w:t>
      </w:r>
    </w:p>
    <w:p>
      <w:pPr>
        <w:pStyle w:val="Normal"/>
        <w:keepNext w:val="true"/>
        <w:rPr>
          <w:rFonts w:ascii="Arial" w:hAnsi="Arial" w:cs="Arial"/>
          <w:sz w:val="24"/>
          <w:szCs w:val="24"/>
        </w:rPr>
      </w:pPr>
      <w:r>
        <w:rPr>
          <w:rFonts w:cs="Arial" w:ascii="Arial" w:hAnsi="Arial"/>
          <w:sz w:val="24"/>
          <w:szCs w:val="24"/>
        </w:rPr>
        <w:t>Complete if bacteria are detected.</w:t>
      </w:r>
    </w:p>
    <w:p>
      <w:pPr>
        <w:pStyle w:val="Normal"/>
        <w:keepNext w:val="true"/>
        <w:rPr/>
      </w:pPr>
      <w:r>
        <w:rPr/>
      </w:r>
    </w:p>
    <w:tbl>
      <w:tblPr>
        <w:tblStyle w:val="TableGrid"/>
        <w:tblW w:w="1079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065"/>
        <w:gridCol w:w="1617"/>
        <w:gridCol w:w="1442"/>
        <w:gridCol w:w="2611"/>
        <w:gridCol w:w="990"/>
        <w:gridCol w:w="2070"/>
      </w:tblGrid>
      <w:tr>
        <w:trPr>
          <w:tblHeader w:val="true"/>
          <w:trHeight w:val="611" w:hRule="atLeast"/>
          <w:cantSplit w:val="true"/>
        </w:trPr>
        <w:tc>
          <w:tcPr>
            <w:tcW w:w="2065"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 xml:space="preserve">Microbiological Contaminants </w:t>
            </w:r>
          </w:p>
        </w:tc>
        <w:tc>
          <w:tcPr>
            <w:tcW w:w="1617"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Highest No. of Detections</w:t>
            </w:r>
          </w:p>
        </w:tc>
        <w:tc>
          <w:tcPr>
            <w:tcW w:w="1442"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No. of Months in Violation</w:t>
            </w:r>
          </w:p>
        </w:tc>
        <w:tc>
          <w:tcPr>
            <w:tcW w:w="2611"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MCL</w:t>
            </w:r>
          </w:p>
        </w:tc>
        <w:tc>
          <w:tcPr>
            <w:tcW w:w="990"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MCLG</w:t>
            </w:r>
          </w:p>
        </w:tc>
        <w:tc>
          <w:tcPr>
            <w:tcW w:w="2070"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Typical Source of Bacteria</w:t>
            </w:r>
          </w:p>
        </w:tc>
      </w:tr>
      <w:tr>
        <w:trPr/>
        <w:tc>
          <w:tcPr>
            <w:tcW w:w="206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i/>
                <w:kern w:val="0"/>
                <w:sz w:val="24"/>
                <w:szCs w:val="24"/>
                <w:lang w:val="en-US" w:eastAsia="en-US" w:bidi="ar-SA"/>
              </w:rPr>
              <w:t>E. coli</w:t>
              <w:br/>
            </w:r>
          </w:p>
        </w:tc>
        <w:tc>
          <w:tcPr>
            <w:tcW w:w="1617"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o</w:t>
            </w:r>
          </w:p>
        </w:tc>
        <w:tc>
          <w:tcPr>
            <w:tcW w:w="261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(a)</w:t>
            </w:r>
          </w:p>
        </w:tc>
        <w:tc>
          <w:tcPr>
            <w:tcW w:w="99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20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bl>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(a) Routine and repeat samples are total coliform-positive and either is </w:t>
      </w:r>
      <w:r>
        <w:rPr>
          <w:rFonts w:cs="Arial" w:ascii="Arial" w:hAnsi="Arial"/>
          <w:i/>
          <w:sz w:val="24"/>
          <w:szCs w:val="24"/>
        </w:rPr>
        <w:t>E. coli</w:t>
      </w:r>
      <w:r>
        <w:rPr>
          <w:rFonts w:cs="Arial" w:ascii="Arial" w:hAnsi="Arial"/>
          <w:sz w:val="24"/>
          <w:szCs w:val="24"/>
        </w:rPr>
        <w:t xml:space="preserve">-positive or system fails to take repeat samples following </w:t>
      </w:r>
      <w:r>
        <w:rPr>
          <w:rFonts w:cs="Arial" w:ascii="Arial" w:hAnsi="Arial"/>
          <w:i/>
          <w:sz w:val="24"/>
          <w:szCs w:val="24"/>
        </w:rPr>
        <w:t>E. coli</w:t>
      </w:r>
      <w:r>
        <w:rPr>
          <w:rFonts w:cs="Arial" w:ascii="Arial" w:hAnsi="Arial"/>
          <w:sz w:val="24"/>
          <w:szCs w:val="24"/>
        </w:rPr>
        <w:t xml:space="preserve">-positive routine sample or system fails to analyze total coliform-positive repeat sample for </w:t>
      </w:r>
      <w:r>
        <w:rPr>
          <w:rFonts w:cs="Arial" w:ascii="Arial" w:hAnsi="Arial"/>
          <w:i/>
          <w:sz w:val="24"/>
          <w:szCs w:val="24"/>
        </w:rPr>
        <w:t>E. coli</w:t>
      </w:r>
      <w:r>
        <w:rPr>
          <w:rFonts w:cs="Arial" w:ascii="Arial" w:hAnsi="Arial"/>
          <w:sz w:val="24"/>
          <w:szCs w:val="24"/>
        </w:rPr>
        <w:t>.</w:t>
      </w:r>
    </w:p>
    <w:p>
      <w:pPr>
        <w:pStyle w:val="Caption1"/>
        <w:rPr/>
      </w:pPr>
      <w:r>
        <w:rPr/>
        <w:t xml:space="preserve">Table </w:t>
      </w:r>
      <w:r>
        <w:rPr/>
        <w:fldChar w:fldCharType="begin"/>
      </w:r>
      <w:r>
        <w:rPr/>
        <w:instrText> SEQ Table \* ARABIC </w:instrText>
      </w:r>
      <w:r>
        <w:rPr/>
        <w:fldChar w:fldCharType="separate"/>
      </w:r>
      <w:r>
        <w:rPr/>
        <w:t>2</w:t>
      </w:r>
      <w:r>
        <w:rPr/>
        <w:fldChar w:fldCharType="end"/>
      </w:r>
      <w:r>
        <w:rPr/>
        <w:t>.  Sampling Results Showing the Detection of Lead and Copper</w:t>
      </w:r>
    </w:p>
    <w:p>
      <w:pPr>
        <w:pStyle w:val="Normal"/>
        <w:rPr>
          <w:rFonts w:ascii="Arial" w:hAnsi="Arial" w:cs="Arial"/>
          <w:sz w:val="24"/>
          <w:szCs w:val="24"/>
        </w:rPr>
      </w:pPr>
      <w:r>
        <w:rPr>
          <w:rFonts w:cs="Arial" w:ascii="Arial" w:hAnsi="Arial"/>
          <w:sz w:val="24"/>
          <w:szCs w:val="24"/>
        </w:rPr>
        <w:t>Complete if lead or copper is detected in the last sample set.</w:t>
      </w:r>
    </w:p>
    <w:p>
      <w:pPr>
        <w:pStyle w:val="Normal"/>
        <w:rPr/>
      </w:pPr>
      <w:r>
        <w:rPr/>
      </w:r>
    </w:p>
    <w:tbl>
      <w:tblPr>
        <w:tblStyle w:val="TableGrid"/>
        <w:tblW w:w="10818" w:type="dxa"/>
        <w:jc w:val="left"/>
        <w:tblInd w:w="0" w:type="dxa"/>
        <w:tblLayout w:type="fixed"/>
        <w:tblCellMar>
          <w:top w:w="0" w:type="dxa"/>
          <w:left w:w="86" w:type="dxa"/>
          <w:bottom w:w="0" w:type="dxa"/>
          <w:right w:w="86" w:type="dxa"/>
        </w:tblCellMar>
        <w:tblLook w:firstRow="1" w:noVBand="0" w:lastRow="0" w:firstColumn="1" w:lastColumn="0" w:noHBand="0" w:val="00a0"/>
      </w:tblPr>
      <w:tblGrid>
        <w:gridCol w:w="1117"/>
        <w:gridCol w:w="1635"/>
        <w:gridCol w:w="1021"/>
        <w:gridCol w:w="1124"/>
        <w:gridCol w:w="1021"/>
        <w:gridCol w:w="610"/>
        <w:gridCol w:w="610"/>
        <w:gridCol w:w="3678"/>
      </w:tblGrid>
      <w:tr>
        <w:trPr>
          <w:tblHeader w:val="true"/>
          <w:trHeight w:val="1708" w:hRule="atLeast"/>
          <w:cantSplit w:val="true"/>
        </w:trPr>
        <w:tc>
          <w:tcPr>
            <w:tcW w:w="1117"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 xml:space="preserve">Lead and Copper </w:t>
            </w:r>
          </w:p>
        </w:tc>
        <w:tc>
          <w:tcPr>
            <w:tcW w:w="1635"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Sample Date</w:t>
            </w:r>
          </w:p>
        </w:tc>
        <w:tc>
          <w:tcPr>
            <w:tcW w:w="1021"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No. of Samples Collected</w:t>
            </w:r>
          </w:p>
        </w:tc>
        <w:tc>
          <w:tcPr>
            <w:tcW w:w="1124"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90</w:t>
            </w:r>
            <w:r>
              <w:rPr>
                <w:rFonts w:eastAsia="Times New Roman" w:cs="Arial" w:ascii="Arial" w:hAnsi="Arial"/>
                <w:b/>
                <w:bCs/>
                <w:kern w:val="0"/>
                <w:sz w:val="24"/>
                <w:szCs w:val="24"/>
                <w:vertAlign w:val="superscript"/>
                <w:lang w:val="en-US" w:eastAsia="en-US" w:bidi="ar-SA"/>
              </w:rPr>
              <w:t>th</w:t>
            </w:r>
            <w:r>
              <w:rPr>
                <w:rFonts w:eastAsia="Times New Roman" w:cs="Arial" w:ascii="Arial" w:hAnsi="Arial"/>
                <w:b/>
                <w:bCs/>
                <w:kern w:val="0"/>
                <w:sz w:val="24"/>
                <w:szCs w:val="24"/>
                <w:lang w:val="en-US" w:eastAsia="en-US" w:bidi="ar-SA"/>
              </w:rPr>
              <w:t xml:space="preserve"> Percentile Level Detected</w:t>
            </w:r>
          </w:p>
        </w:tc>
        <w:tc>
          <w:tcPr>
            <w:tcW w:w="1021"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No. Sites Exceeding AL</w:t>
            </w:r>
          </w:p>
        </w:tc>
        <w:tc>
          <w:tcPr>
            <w:tcW w:w="610"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AL</w:t>
            </w:r>
          </w:p>
        </w:tc>
        <w:tc>
          <w:tcPr>
            <w:tcW w:w="610"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PHG</w:t>
            </w:r>
          </w:p>
        </w:tc>
        <w:tc>
          <w:tcPr>
            <w:tcW w:w="3678" w:type="dxa"/>
            <w:tcBorders/>
            <w:tcMar>
              <w:left w:w="108" w:type="dxa"/>
              <w:right w:w="108" w:type="dxa"/>
            </w:tcMar>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Typical Source of</w:t>
            </w:r>
          </w:p>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Contaminant</w:t>
            </w:r>
          </w:p>
        </w:tc>
      </w:tr>
      <w:tr>
        <w:trPr>
          <w:trHeight w:val="1332" w:hRule="atLeast"/>
        </w:trPr>
        <w:tc>
          <w:tcPr>
            <w:tcW w:w="111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Lead (ppb)</w:t>
            </w:r>
          </w:p>
        </w:tc>
        <w:tc>
          <w:tcPr>
            <w:tcW w:w="1635"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9/1/22</w:t>
            </w:r>
          </w:p>
        </w:tc>
        <w:tc>
          <w:tcPr>
            <w:tcW w:w="10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1124"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&lt; 5.0 mg/l</w:t>
            </w:r>
          </w:p>
        </w:tc>
        <w:tc>
          <w:tcPr>
            <w:tcW w:w="10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61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15</w:t>
            </w:r>
          </w:p>
        </w:tc>
        <w:tc>
          <w:tcPr>
            <w:tcW w:w="61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0.2</w:t>
            </w:r>
          </w:p>
        </w:tc>
        <w:tc>
          <w:tcPr>
            <w:tcW w:w="3678"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Internal corrosion of household water plumbing systems; discharges from industrial manufacturers; erosion of natural deposits</w:t>
            </w:r>
          </w:p>
        </w:tc>
      </w:tr>
      <w:tr>
        <w:trPr>
          <w:trHeight w:val="1342" w:hRule="atLeast"/>
        </w:trPr>
        <w:tc>
          <w:tcPr>
            <w:tcW w:w="111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Copper (ppm)</w:t>
            </w:r>
          </w:p>
        </w:tc>
        <w:tc>
          <w:tcPr>
            <w:tcW w:w="1635"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9/1/22</w:t>
            </w:r>
          </w:p>
        </w:tc>
        <w:tc>
          <w:tcPr>
            <w:tcW w:w="10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1124"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440 ug/l</w:t>
            </w:r>
          </w:p>
        </w:tc>
        <w:tc>
          <w:tcPr>
            <w:tcW w:w="10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61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1.3</w:t>
            </w:r>
          </w:p>
        </w:tc>
        <w:tc>
          <w:tcPr>
            <w:tcW w:w="61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0.3</w:t>
            </w:r>
          </w:p>
        </w:tc>
        <w:tc>
          <w:tcPr>
            <w:tcW w:w="3678"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Internal corrosion of household plumbing systems; erosion of natural deposits; leaching from wood preservatives</w:t>
            </w:r>
          </w:p>
        </w:tc>
      </w:tr>
    </w:tbl>
    <w:p>
      <w:pPr>
        <w:pStyle w:val="Caption1"/>
        <w:rPr/>
      </w:pPr>
      <w:r>
        <w:rPr/>
        <w:t xml:space="preserve">Table </w:t>
      </w:r>
      <w:r>
        <w:rPr/>
        <w:fldChar w:fldCharType="begin"/>
      </w:r>
      <w:r>
        <w:rPr/>
        <w:instrText> SEQ Table \* ARABIC </w:instrText>
      </w:r>
      <w:r>
        <w:rPr/>
        <w:fldChar w:fldCharType="separate"/>
      </w:r>
      <w:r>
        <w:rPr/>
        <w:t>3</w:t>
      </w:r>
      <w:r>
        <w:rPr/>
        <w:fldChar w:fldCharType="end"/>
      </w:r>
      <w:r>
        <w:rPr/>
        <w:t>.  Sampling Results for Sodium and Hardness</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249"/>
        <w:gridCol w:w="1346"/>
        <w:gridCol w:w="1259"/>
        <w:gridCol w:w="1530"/>
        <w:gridCol w:w="812"/>
        <w:gridCol w:w="1079"/>
        <w:gridCol w:w="2560"/>
      </w:tblGrid>
      <w:tr>
        <w:trPr/>
        <w:tc>
          <w:tcPr>
            <w:tcW w:w="2249"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346"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59"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812"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MCL</w:t>
            </w:r>
          </w:p>
        </w:tc>
        <w:tc>
          <w:tcPr>
            <w:tcW w:w="1079"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PHG (MCLG)</w:t>
            </w:r>
          </w:p>
        </w:tc>
        <w:tc>
          <w:tcPr>
            <w:tcW w:w="256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249"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Sodium (ppm)</w:t>
            </w:r>
          </w:p>
        </w:tc>
        <w:tc>
          <w:tcPr>
            <w:tcW w:w="1346"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17</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17</w:t>
            </w:r>
          </w:p>
        </w:tc>
        <w:tc>
          <w:tcPr>
            <w:tcW w:w="81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107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256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Salt present in the water and is generally naturally occurring</w:t>
            </w:r>
          </w:p>
        </w:tc>
      </w:tr>
      <w:tr>
        <w:trPr/>
        <w:tc>
          <w:tcPr>
            <w:tcW w:w="2249"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Hardness (ppm)</w:t>
            </w:r>
          </w:p>
        </w:tc>
        <w:tc>
          <w:tcPr>
            <w:tcW w:w="1346"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6/20/22 </w:t>
            </w:r>
          </w:p>
        </w:tc>
        <w:tc>
          <w:tcPr>
            <w:tcW w:w="125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64 No.]</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64</w:t>
            </w:r>
          </w:p>
        </w:tc>
        <w:tc>
          <w:tcPr>
            <w:tcW w:w="81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107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256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Sum of polyvalent cations present in the water, generally magnesium and calcium, and are usually naturally occurring</w:t>
            </w:r>
          </w:p>
        </w:tc>
      </w:tr>
    </w:tbl>
    <w:p>
      <w:pPr>
        <w:pStyle w:val="Caption1"/>
        <w:rPr/>
      </w:pPr>
      <w:r>
        <w:rPr/>
        <w:t xml:space="preserve">Table </w:t>
      </w:r>
      <w:r>
        <w:rPr/>
        <w:fldChar w:fldCharType="begin"/>
      </w:r>
      <w:r>
        <w:rPr/>
        <w:instrText> SEQ Table \* ARABIC </w:instrText>
      </w:r>
      <w:r>
        <w:rPr/>
        <w:fldChar w:fldCharType="separate"/>
      </w:r>
      <w:r>
        <w:rPr/>
        <w:t>4</w:t>
      </w:r>
      <w:r>
        <w:rPr/>
        <w:fldChar w:fldCharType="end"/>
      </w:r>
      <w:r>
        <w:rPr/>
        <w:t>.  Detection of Contaminants with a Primary Drinking Water Standard</w:t>
      </w:r>
    </w:p>
    <w:tbl>
      <w:tblPr>
        <w:tblStyle w:val="TableGrid"/>
        <w:tblW w:w="1083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245"/>
        <w:gridCol w:w="1440"/>
        <w:gridCol w:w="1259"/>
        <w:gridCol w:w="1530"/>
        <w:gridCol w:w="1170"/>
        <w:gridCol w:w="1262"/>
        <w:gridCol w:w="1929"/>
      </w:tblGrid>
      <w:tr>
        <w:trPr>
          <w:trHeight w:val="1511" w:hRule="atLeast"/>
          <w:cantSplit w:val="true"/>
        </w:trPr>
        <w:tc>
          <w:tcPr>
            <w:tcW w:w="2245"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w:t>
            </w:r>
          </w:p>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(and</w:t>
            </w:r>
          </w:p>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reporting units)</w:t>
            </w:r>
          </w:p>
        </w:tc>
        <w:tc>
          <w:tcPr>
            <w:tcW w:w="144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59" w:type="dxa"/>
            <w:tcBorders/>
            <w:tcMar>
              <w:left w:w="72" w:type="dxa"/>
              <w:right w:w="72" w:type="dxa"/>
            </w:tcMar>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117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MCL [MRDL]</w:t>
            </w:r>
          </w:p>
        </w:tc>
        <w:tc>
          <w:tcPr>
            <w:tcW w:w="1262"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PHG (MCLG) [MRDLG]</w:t>
            </w:r>
          </w:p>
        </w:tc>
        <w:tc>
          <w:tcPr>
            <w:tcW w:w="1929"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245" w:type="dxa"/>
            <w:tcBorders/>
            <w:tcMar>
              <w:left w:w="58" w:type="dxa"/>
              <w:right w:w="58" w:type="dxa"/>
            </w:tcMar>
          </w:tcPr>
          <w:p>
            <w:pPr>
              <w:pStyle w:val="Normal"/>
              <w:keepNext w:val="true"/>
              <w:keepLines/>
              <w:widowControl w:val="false"/>
              <w:suppressAutoHyphens w:val="true"/>
              <w:spacing w:before="40" w:after="40"/>
              <w:ind w:left="30" w:hanging="0"/>
              <w:jc w:val="both"/>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Arsenic (ppb)</w:t>
            </w:r>
          </w:p>
        </w:tc>
        <w:tc>
          <w:tcPr>
            <w:tcW w:w="1440"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6.8</w:t>
            </w:r>
          </w:p>
        </w:tc>
        <w:tc>
          <w:tcPr>
            <w:tcW w:w="1530"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6.8</w:t>
            </w:r>
          </w:p>
        </w:tc>
        <w:tc>
          <w:tcPr>
            <w:tcW w:w="1170" w:type="dxa"/>
            <w:tcBorders/>
          </w:tcPr>
          <w:p>
            <w:pPr>
              <w:pStyle w:val="Normal"/>
              <w:keepNext w:val="true"/>
              <w:keepLines/>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10</w:t>
            </w:r>
          </w:p>
        </w:tc>
        <w:tc>
          <w:tcPr>
            <w:tcW w:w="1262" w:type="dxa"/>
            <w:tcBorders/>
          </w:tcPr>
          <w:p>
            <w:pPr>
              <w:pStyle w:val="Normal"/>
              <w:keepNext w:val="true"/>
              <w:keepLines/>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2.0</w:t>
            </w:r>
          </w:p>
        </w:tc>
        <w:tc>
          <w:tcPr>
            <w:tcW w:w="1929" w:type="dxa"/>
            <w:tcBorders/>
          </w:tcPr>
          <w:p>
            <w:pPr>
              <w:pStyle w:val="Normal"/>
              <w:keepNext w:val="true"/>
              <w:keepLines/>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Erosion of natural deposits;</w:t>
            </w:r>
          </w:p>
          <w:p>
            <w:pPr>
              <w:pStyle w:val="Normal"/>
              <w:keepNext w:val="true"/>
              <w:keepLines/>
              <w:widowControl w:val="false"/>
              <w:suppressAutoHyphens w:val="true"/>
              <w:spacing w:before="40" w:after="40"/>
              <w:jc w:val="left"/>
              <w:rPr>
                <w:rFonts w:ascii="Arial" w:hAnsi="Arial" w:cs="Arial"/>
                <w:color w:val="000000" w:themeColor="text1"/>
                <w:sz w:val="24"/>
                <w:szCs w:val="24"/>
              </w:rPr>
            </w:pPr>
            <w:r>
              <w:rPr>
                <w:rFonts w:eastAsia="Times New Roman" w:cs="TimesNewRomanPSMT" w:ascii="TimesNewRomanPSMT" w:hAnsi="TimesNewRomanPSMT"/>
                <w:color w:val="000000" w:themeColor="text1"/>
                <w:kern w:val="0"/>
                <w:sz w:val="24"/>
                <w:szCs w:val="24"/>
                <w:lang w:val="en-US" w:eastAsia="en-US" w:bidi="ar-SA"/>
              </w:rPr>
              <w:t>runoff from orchards; glass and electronics production wastes</w:t>
            </w:r>
          </w:p>
        </w:tc>
      </w:tr>
      <w:tr>
        <w:trPr>
          <w:trHeight w:val="432" w:hRule="atLeast"/>
        </w:trPr>
        <w:tc>
          <w:tcPr>
            <w:tcW w:w="2245" w:type="dxa"/>
            <w:tcBorders/>
            <w:tcMar>
              <w:left w:w="58" w:type="dxa"/>
              <w:right w:w="58" w:type="dxa"/>
            </w:tcMar>
          </w:tcPr>
          <w:p>
            <w:pPr>
              <w:pStyle w:val="Normal"/>
              <w:widowControl w:val="false"/>
              <w:suppressAutoHyphens w:val="true"/>
              <w:spacing w:before="40" w:after="40"/>
              <w:ind w:left="180" w:right="0" w:hanging="0"/>
              <w:jc w:val="both"/>
              <w:rPr>
                <w:rFonts w:ascii="Arial" w:hAnsi="Arial" w:cs="Arial"/>
                <w:color w:val="000000" w:themeColor="text1"/>
                <w:sz w:val="24"/>
                <w:szCs w:val="24"/>
              </w:rPr>
            </w:pPr>
            <w:r>
              <w:rPr>
                <w:rFonts w:eastAsia="Times New Roman" w:cs="TimesNewRomanPSMT" w:ascii="TimesNewRomanPSMT" w:hAnsi="TimesNewRomanPSMT"/>
                <w:color w:val="000000" w:themeColor="text1"/>
                <w:kern w:val="0"/>
                <w:sz w:val="24"/>
                <w:szCs w:val="24"/>
                <w:lang w:val="en-US" w:eastAsia="en-US" w:bidi="ar-SA"/>
              </w:rPr>
              <w:t>Fluoride (ppm)</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0.30 </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0.30 </w:t>
            </w:r>
          </w:p>
        </w:tc>
        <w:tc>
          <w:tcPr>
            <w:tcW w:w="1170" w:type="dxa"/>
            <w:tcBorders/>
          </w:tcPr>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2.0</w:t>
            </w:r>
          </w:p>
        </w:tc>
        <w:tc>
          <w:tcPr>
            <w:tcW w:w="1262" w:type="dxa"/>
            <w:tcBorders/>
          </w:tcPr>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0.1</w:t>
            </w:r>
          </w:p>
        </w:tc>
        <w:tc>
          <w:tcPr>
            <w:tcW w:w="1929" w:type="dxa"/>
            <w:tcBorders/>
          </w:tcPr>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Erosion of natural deposits;</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water additive which</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promotes strong teeth;</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discharge from fertilizer and</w:t>
            </w:r>
          </w:p>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TimesNewRomanPSMT" w:ascii="TimesNewRomanPSMT" w:hAnsi="TimesNewRomanPSMT"/>
                <w:color w:val="000000" w:themeColor="text1"/>
                <w:kern w:val="0"/>
                <w:sz w:val="24"/>
                <w:szCs w:val="24"/>
                <w:lang w:val="en-US" w:eastAsia="en-US" w:bidi="ar-SA"/>
              </w:rPr>
              <w:t>aluminum factories</w:t>
            </w:r>
          </w:p>
        </w:tc>
      </w:tr>
      <w:tr>
        <w:trPr>
          <w:trHeight w:val="432" w:hRule="atLeast"/>
        </w:trPr>
        <w:tc>
          <w:tcPr>
            <w:tcW w:w="2245" w:type="dxa"/>
            <w:tcBorders/>
            <w:tcMar>
              <w:left w:w="58" w:type="dxa"/>
              <w:right w:w="58" w:type="dxa"/>
            </w:tcMar>
          </w:tcPr>
          <w:p>
            <w:pPr>
              <w:pStyle w:val="Normal"/>
              <w:widowControl w:val="false"/>
              <w:suppressAutoHyphens w:val="true"/>
              <w:spacing w:before="40" w:after="40"/>
              <w:ind w:left="180" w:right="0" w:hanging="0"/>
              <w:jc w:val="both"/>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Turbidity (NTU)</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widowControl w:val="false"/>
              <w:suppressAutoHyphens w:val="true"/>
              <w:spacing w:before="40" w:after="40"/>
              <w:ind w:right="0" w:hanging="0"/>
              <w:jc w:val="both"/>
              <w:rPr>
                <w:rFonts w:ascii="Arial" w:hAnsi="Arial" w:eastAsia="Times New Roman" w:cs="Arial"/>
                <w:color w:val="000000"/>
                <w:kern w:val="0"/>
                <w:sz w:val="24"/>
                <w:szCs w:val="24"/>
                <w:lang w:val="en-US" w:eastAsia="en-US" w:bidi="ar-SA"/>
              </w:rPr>
            </w:pPr>
            <w:r>
              <w:rPr>
                <w:rFonts w:eastAsia="Times New Roman" w:cs="Arial" w:ascii="Arial" w:hAnsi="Arial"/>
                <w:color w:val="000000"/>
                <w:kern w:val="0"/>
                <w:sz w:val="24"/>
                <w:szCs w:val="24"/>
                <w:lang w:val="en-US" w:eastAsia="en-US" w:bidi="ar-SA"/>
              </w:rPr>
              <w:t>3.7</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3.7</w:t>
            </w:r>
          </w:p>
        </w:tc>
        <w:tc>
          <w:tcPr>
            <w:tcW w:w="1170" w:type="dxa"/>
            <w:tcBorders/>
          </w:tcPr>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5.0</w:t>
            </w:r>
          </w:p>
        </w:tc>
        <w:tc>
          <w:tcPr>
            <w:tcW w:w="1262" w:type="dxa"/>
            <w:tcBorders/>
          </w:tcPr>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Arial" w:ascii="Arial" w:hAnsi="Arial"/>
                <w:color w:val="000000" w:themeColor="text1"/>
                <w:kern w:val="0"/>
                <w:sz w:val="24"/>
                <w:szCs w:val="24"/>
                <w:lang w:val="en-US" w:eastAsia="en-US" w:bidi="ar-SA"/>
              </w:rPr>
              <w:t>0.1</w:t>
            </w:r>
          </w:p>
        </w:tc>
        <w:tc>
          <w:tcPr>
            <w:tcW w:w="1929" w:type="dxa"/>
            <w:tcBorders/>
          </w:tcPr>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Turbidity has no health effects.</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However, high levels of turbidity</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can interfere with disinfection</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and provide a medium for</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microbial growth. Turbidity</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may indicate the presence of</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disease-causing organisms.</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These organisms include</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bacteria, viruses, and parasites</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that can cause symptoms such as</w:t>
            </w:r>
          </w:p>
          <w:p>
            <w:pPr>
              <w:pStyle w:val="Normal"/>
              <w:widowControl w:val="false"/>
              <w:suppressAutoHyphens w:val="true"/>
              <w:jc w:val="left"/>
              <w:rPr>
                <w:rFonts w:ascii="TimesNewRomanPSMT" w:hAnsi="TimesNewRomanPSMT" w:cs="TimesNewRomanPSMT"/>
                <w:sz w:val="24"/>
                <w:szCs w:val="24"/>
              </w:rPr>
            </w:pPr>
            <w:r>
              <w:rPr>
                <w:rFonts w:cs="TimesNewRomanPSMT" w:ascii="TimesNewRomanPSMT" w:hAnsi="TimesNewRomanPSMT"/>
                <w:sz w:val="24"/>
                <w:szCs w:val="24"/>
              </w:rPr>
              <w:t>nausea, cramps, diarrhea, and</w:t>
            </w:r>
          </w:p>
          <w:p>
            <w:pPr>
              <w:pStyle w:val="Normal"/>
              <w:widowControl w:val="false"/>
              <w:suppressAutoHyphens w:val="true"/>
              <w:spacing w:before="40" w:after="40"/>
              <w:jc w:val="center"/>
              <w:rPr>
                <w:rFonts w:ascii="Arial" w:hAnsi="Arial" w:cs="Arial"/>
                <w:color w:val="000000" w:themeColor="text1"/>
                <w:sz w:val="24"/>
                <w:szCs w:val="24"/>
              </w:rPr>
            </w:pPr>
            <w:r>
              <w:rPr>
                <w:rFonts w:eastAsia="Times New Roman" w:cs="TimesNewRomanPSMT" w:ascii="TimesNewRomanPSMT" w:hAnsi="TimesNewRomanPSMT"/>
                <w:color w:val="000000" w:themeColor="text1"/>
                <w:kern w:val="0"/>
                <w:sz w:val="24"/>
                <w:szCs w:val="24"/>
                <w:lang w:val="en-US" w:eastAsia="en-US" w:bidi="ar-SA"/>
              </w:rPr>
              <w:t>associated headaches.</w:t>
            </w:r>
          </w:p>
        </w:tc>
      </w:tr>
      <w:tr>
        <w:trPr>
          <w:trHeight w:val="432" w:hRule="atLeast"/>
        </w:trPr>
        <w:tc>
          <w:tcPr>
            <w:tcW w:w="2245" w:type="dxa"/>
            <w:tcBorders>
              <w:top w:val="nil"/>
            </w:tcBorders>
            <w:tcMar>
              <w:left w:w="58" w:type="dxa"/>
              <w:right w:w="58" w:type="dxa"/>
            </w:tcMar>
          </w:tcPr>
          <w:p>
            <w:pPr>
              <w:pStyle w:val="Normal"/>
              <w:widowControl w:val="false"/>
              <w:suppressAutoHyphens w:val="true"/>
              <w:spacing w:before="40" w:after="40"/>
              <w:ind w:left="180" w:right="0" w:hanging="0"/>
              <w:jc w:val="both"/>
              <w:rPr>
                <w:rFonts w:ascii="Arial" w:hAnsi="Arial" w:cs="Arial"/>
                <w:color w:val="000000" w:themeColor="text1"/>
                <w:sz w:val="24"/>
                <w:szCs w:val="24"/>
              </w:rPr>
            </w:pPr>
            <w:r>
              <w:rPr>
                <w:rFonts w:eastAsia="Times New Roman" w:cs="Arial" w:ascii="Arial" w:hAnsi="Arial"/>
                <w:color w:val="000000"/>
                <w:kern w:val="0"/>
                <w:sz w:val="24"/>
                <w:szCs w:val="24"/>
                <w:lang w:val="en-US" w:eastAsia="en-US" w:bidi="ar-SA"/>
              </w:rPr>
              <w:t>Nitrate(mg/l)</w:t>
            </w:r>
          </w:p>
        </w:tc>
        <w:tc>
          <w:tcPr>
            <w:tcW w:w="1440" w:type="dxa"/>
            <w:tcBorders>
              <w:top w:val="nil"/>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3/21/22</w:t>
            </w:r>
          </w:p>
        </w:tc>
        <w:tc>
          <w:tcPr>
            <w:tcW w:w="1259" w:type="dxa"/>
            <w:tcBorders>
              <w:top w:val="nil"/>
            </w:tcBorders>
          </w:tcPr>
          <w:p>
            <w:pPr>
              <w:pStyle w:val="Normal"/>
              <w:widowControl w:val="false"/>
              <w:suppressAutoHyphens w:val="true"/>
              <w:spacing w:before="40" w:after="40"/>
              <w:ind w:right="0" w:hanging="0"/>
              <w:jc w:val="both"/>
              <w:rPr>
                <w:rFonts w:ascii="Arial" w:hAnsi="Arial" w:eastAsia="Times New Roman" w:cs="Arial"/>
                <w:color w:val="000000"/>
                <w:kern w:val="0"/>
                <w:sz w:val="24"/>
                <w:szCs w:val="24"/>
                <w:lang w:val="en-US" w:eastAsia="en-US" w:bidi="ar-SA"/>
              </w:rPr>
            </w:pPr>
            <w:r>
              <w:rPr>
                <w:rFonts w:eastAsia="Times New Roman" w:cs="Arial" w:ascii="Arial" w:hAnsi="Arial"/>
                <w:color w:val="000000"/>
                <w:kern w:val="0"/>
                <w:sz w:val="24"/>
                <w:szCs w:val="24"/>
                <w:lang w:val="en-US" w:eastAsia="en-US" w:bidi="ar-SA"/>
              </w:rPr>
              <w:t>2.3</w:t>
            </w:r>
          </w:p>
        </w:tc>
        <w:tc>
          <w:tcPr>
            <w:tcW w:w="1530" w:type="dxa"/>
            <w:tcBorders>
              <w:top w:val="nil"/>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2.3</w:t>
            </w:r>
          </w:p>
        </w:tc>
        <w:tc>
          <w:tcPr>
            <w:tcW w:w="1170" w:type="dxa"/>
            <w:tcBorders>
              <w:top w:val="nil"/>
            </w:tcBorders>
          </w:tcPr>
          <w:p>
            <w:pPr>
              <w:pStyle w:val="Normal"/>
              <w:widowControl w:val="false"/>
              <w:suppressAutoHyphens w:val="true"/>
              <w:spacing w:before="40" w:after="40"/>
              <w:jc w:val="center"/>
              <w:rPr>
                <w:rFonts w:ascii="Arial" w:hAnsi="Arial" w:cs="Arial"/>
                <w:color w:val="000000" w:themeColor="text1"/>
                <w:sz w:val="24"/>
                <w:szCs w:val="24"/>
              </w:rPr>
            </w:pPr>
            <w:r>
              <w:rPr>
                <w:rFonts w:cs="Arial" w:ascii="Arial" w:hAnsi="Arial"/>
                <w:color w:val="000000"/>
                <w:sz w:val="24"/>
                <w:szCs w:val="24"/>
              </w:rPr>
              <w:t>10</w:t>
            </w:r>
          </w:p>
        </w:tc>
        <w:tc>
          <w:tcPr>
            <w:tcW w:w="1262" w:type="dxa"/>
            <w:tcBorders>
              <w:top w:val="nil"/>
            </w:tcBorders>
          </w:tcPr>
          <w:p>
            <w:pPr>
              <w:pStyle w:val="Normal"/>
              <w:widowControl w:val="false"/>
              <w:suppressAutoHyphens w:val="true"/>
              <w:spacing w:before="40" w:after="40"/>
              <w:jc w:val="center"/>
              <w:rPr>
                <w:rFonts w:ascii="Arial" w:hAnsi="Arial" w:cs="Arial"/>
                <w:color w:val="000000" w:themeColor="text1"/>
                <w:sz w:val="24"/>
                <w:szCs w:val="24"/>
              </w:rPr>
            </w:pPr>
            <w:r>
              <w:rPr>
                <w:rFonts w:cs="Arial" w:ascii="Arial" w:hAnsi="Arial"/>
                <w:color w:val="000000"/>
                <w:sz w:val="24"/>
                <w:szCs w:val="24"/>
              </w:rPr>
              <w:t>10</w:t>
            </w:r>
          </w:p>
        </w:tc>
        <w:tc>
          <w:tcPr>
            <w:tcW w:w="1929" w:type="dxa"/>
            <w:tcBorders>
              <w:top w:val="nil"/>
            </w:tcBorders>
          </w:tcPr>
          <w:p>
            <w:pPr>
              <w:pStyle w:val="Normal"/>
              <w:widowControl w:val="false"/>
              <w:suppressAutoHyphens w:val="true"/>
              <w:spacing w:before="0" w:after="0"/>
              <w:jc w:val="left"/>
              <w:rPr>
                <w:rFonts w:ascii="Arial" w:hAnsi="Arial" w:cs="Arial"/>
                <w:b/>
                <w:b/>
                <w:bCs/>
                <w:sz w:val="24"/>
                <w:szCs w:val="24"/>
              </w:rPr>
            </w:pPr>
            <w:r>
              <w:rPr>
                <w:rFonts w:eastAsia="Times New Roman" w:cs="Arial" w:ascii="Arial" w:hAnsi="Arial"/>
                <w:kern w:val="0"/>
                <w:sz w:val="24"/>
                <w:szCs w:val="24"/>
                <w:lang w:val="en-US" w:eastAsia="en-US" w:bidi="ar-SA"/>
              </w:rPr>
              <w:t>Runoff and leaching from fertilizer use; leaching from septic tanks and sewage; erosion of natural deposits</w:t>
            </w:r>
          </w:p>
        </w:tc>
      </w:tr>
    </w:tbl>
    <w:p>
      <w:pPr>
        <w:pStyle w:val="Caption1"/>
        <w:rPr/>
      </w:pPr>
      <w:r>
        <w:rPr/>
        <w:t xml:space="preserve">Table </w:t>
      </w:r>
      <w:r>
        <w:rPr/>
        <w:fldChar w:fldCharType="begin"/>
      </w:r>
      <w:r>
        <w:rPr/>
        <w:instrText> SEQ Table \* ARABIC </w:instrText>
      </w:r>
      <w:r>
        <w:rPr/>
        <w:fldChar w:fldCharType="separate"/>
      </w:r>
      <w:r>
        <w:rPr/>
        <w:t>5</w:t>
      </w:r>
      <w:r>
        <w:rPr/>
        <w:fldChar w:fldCharType="end"/>
      </w:r>
      <w:r>
        <w:rPr/>
        <w:t>.  Detection of Contaminants with a Secondary Drinking Water Standard</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245"/>
        <w:gridCol w:w="1440"/>
        <w:gridCol w:w="1259"/>
        <w:gridCol w:w="1530"/>
        <w:gridCol w:w="900"/>
        <w:gridCol w:w="1171"/>
        <w:gridCol w:w="2290"/>
      </w:tblGrid>
      <w:tr>
        <w:trPr/>
        <w:tc>
          <w:tcPr>
            <w:tcW w:w="2245" w:type="dxa"/>
            <w:tcBorders/>
            <w:vAlign w:val="center"/>
          </w:tcPr>
          <w:p>
            <w:pPr>
              <w:pStyle w:val="Normal"/>
              <w:keepNext w:val="true"/>
              <w:keepLines/>
              <w:widowControl w:val="false"/>
              <w:suppressAutoHyphens w:val="true"/>
              <w:spacing w:lineRule="exact" w:line="240" w:before="0" w:after="6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59"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90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SMCL</w:t>
            </w:r>
          </w:p>
        </w:tc>
        <w:tc>
          <w:tcPr>
            <w:tcW w:w="1171"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PHG (MCLG)</w:t>
            </w:r>
          </w:p>
        </w:tc>
        <w:tc>
          <w:tcPr>
            <w:tcW w:w="2290" w:type="dxa"/>
            <w:tcBorders/>
            <w:vAlign w:val="center"/>
          </w:tcPr>
          <w:p>
            <w:pPr>
              <w:pStyle w:val="Normal"/>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Typical Source</w:t>
            </w:r>
          </w:p>
          <w:p>
            <w:pPr>
              <w:pStyle w:val="Normal"/>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of</w:t>
            </w:r>
          </w:p>
          <w:p>
            <w:pPr>
              <w:pStyle w:val="Normal"/>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Contaminant</w:t>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right="0" w:hanging="0"/>
              <w:rPr>
                <w:rFonts w:ascii="Arial" w:hAnsi="Arial" w:cs="Arial"/>
                <w:sz w:val="24"/>
                <w:szCs w:val="24"/>
              </w:rPr>
            </w:pPr>
            <w:r>
              <w:rPr>
                <w:rFonts w:cs="Arial" w:ascii="Arial" w:hAnsi="Arial"/>
                <w:sz w:val="24"/>
                <w:szCs w:val="24"/>
              </w:rPr>
              <w:t>Iron (ppb)</w:t>
            </w:r>
          </w:p>
          <w:tbl>
            <w:tblPr>
              <w:tblStyle w:val="TableGrid"/>
              <w:tblW w:w="10836" w:type="dxa"/>
              <w:jc w:val="left"/>
              <w:tblInd w:w="0" w:type="dxa"/>
              <w:tblLayout w:type="fixed"/>
              <w:tblCellMar>
                <w:top w:w="0" w:type="dxa"/>
                <w:left w:w="108" w:type="dxa"/>
                <w:bottom w:w="0" w:type="dxa"/>
                <w:right w:w="108" w:type="dxa"/>
              </w:tblCellMar>
              <w:tblLook w:firstRow="1" w:noVBand="0" w:lastRow="0" w:firstColumn="0" w:lastColumn="0" w:noHBand="0" w:val="0020"/>
            </w:tblPr>
            <w:tblGrid>
              <w:gridCol w:w="2245"/>
              <w:gridCol w:w="1440"/>
              <w:gridCol w:w="1259"/>
              <w:gridCol w:w="1530"/>
              <w:gridCol w:w="899"/>
              <w:gridCol w:w="1172"/>
              <w:gridCol w:w="2290"/>
            </w:tblGrid>
            <w:tr>
              <w:trPr>
                <w:trHeight w:val="432" w:hRule="atLeast"/>
              </w:trPr>
              <w:tc>
                <w:tcPr>
                  <w:tcW w:w="2245" w:type="dxa"/>
                  <w:tcBorders/>
                </w:tcPr>
                <w:p>
                  <w:pPr>
                    <w:pStyle w:val="Normal"/>
                    <w:widowControl w:val="false"/>
                    <w:suppressAutoHyphens w:val="true"/>
                    <w:spacing w:before="40" w:after="40"/>
                    <w:ind w:right="0" w:hanging="0"/>
                    <w:rPr>
                      <w:rFonts w:ascii="Arial" w:hAnsi="Arial" w:cs="Arial"/>
                      <w:sz w:val="24"/>
                      <w:szCs w:val="24"/>
                    </w:rPr>
                  </w:pPr>
                  <w:r>
                    <w:rPr>
                      <w:rFonts w:cs="Arial" w:ascii="Arial" w:hAnsi="Arial"/>
                      <w:sz w:val="24"/>
                      <w:szCs w:val="24"/>
                    </w:rPr>
                  </w:r>
                </w:p>
              </w:tc>
              <w:tc>
                <w:tcPr>
                  <w:tcW w:w="1440" w:type="dxa"/>
                  <w:tcBorders/>
                </w:tcPr>
                <w:p>
                  <w:pPr>
                    <w:pStyle w:val="Normal"/>
                    <w:widowControl w:val="false"/>
                    <w:suppressAutoHyphens w:val="true"/>
                    <w:spacing w:before="40" w:after="40"/>
                    <w:rPr>
                      <w:rFonts w:ascii="Arial" w:hAnsi="Arial" w:cs="Arial"/>
                      <w:sz w:val="24"/>
                      <w:szCs w:val="24"/>
                    </w:rPr>
                  </w:pPr>
                  <w:r>
                    <w:rPr>
                      <w:rFonts w:cs="Arial" w:ascii="Arial" w:hAnsi="Arial"/>
                      <w:sz w:val="24"/>
                      <w:szCs w:val="24"/>
                    </w:rPr>
                    <w:t>6/21/19</w:t>
                  </w:r>
                </w:p>
              </w:tc>
              <w:tc>
                <w:tcPr>
                  <w:tcW w:w="1259" w:type="dxa"/>
                  <w:tcBorders/>
                </w:tcPr>
                <w:p>
                  <w:pPr>
                    <w:pStyle w:val="Normal"/>
                    <w:widowControl w:val="false"/>
                    <w:suppressAutoHyphens w:val="true"/>
                    <w:spacing w:before="40" w:after="40"/>
                    <w:rPr>
                      <w:rFonts w:ascii="Arial" w:hAnsi="Arial" w:cs="Arial"/>
                      <w:sz w:val="24"/>
                      <w:szCs w:val="24"/>
                    </w:rPr>
                  </w:pPr>
                  <w:r>
                    <w:rPr>
                      <w:rFonts w:cs="Arial" w:ascii="Arial" w:hAnsi="Arial"/>
                      <w:sz w:val="24"/>
                      <w:szCs w:val="24"/>
                    </w:rPr>
                    <w:t>36</w:t>
                  </w:r>
                </w:p>
              </w:tc>
              <w:tc>
                <w:tcPr>
                  <w:tcW w:w="1530" w:type="dxa"/>
                  <w:tcBorders/>
                </w:tcPr>
                <w:p>
                  <w:pPr>
                    <w:pStyle w:val="Normal"/>
                    <w:widowControl w:val="false"/>
                    <w:suppressAutoHyphens w:val="true"/>
                    <w:spacing w:before="40" w:after="40"/>
                    <w:rPr>
                      <w:rFonts w:ascii="Arial" w:hAnsi="Arial" w:cs="Arial"/>
                      <w:sz w:val="24"/>
                      <w:szCs w:val="24"/>
                    </w:rPr>
                  </w:pPr>
                  <w:r>
                    <w:rPr>
                      <w:rFonts w:cs="Arial" w:ascii="Arial" w:hAnsi="Arial"/>
                      <w:sz w:val="24"/>
                      <w:szCs w:val="24"/>
                    </w:rPr>
                    <w:t>&lt;20 - 36</w:t>
                  </w:r>
                </w:p>
              </w:tc>
              <w:tc>
                <w:tcPr>
                  <w:tcW w:w="899" w:type="dxa"/>
                  <w:tcBorders/>
                </w:tcPr>
                <w:p>
                  <w:pPr>
                    <w:pStyle w:val="Normal"/>
                    <w:widowControl w:val="false"/>
                    <w:suppressAutoHyphens w:val="true"/>
                    <w:spacing w:before="40" w:after="40"/>
                    <w:rPr>
                      <w:rFonts w:ascii="Arial" w:hAnsi="Arial" w:cs="Arial"/>
                      <w:sz w:val="24"/>
                      <w:szCs w:val="24"/>
                    </w:rPr>
                  </w:pPr>
                  <w:r>
                    <w:rPr>
                      <w:rFonts w:cs="Arial" w:ascii="Arial" w:hAnsi="Arial"/>
                      <w:sz w:val="24"/>
                      <w:szCs w:val="24"/>
                    </w:rPr>
                    <w:t>50</w:t>
                  </w:r>
                </w:p>
              </w:tc>
              <w:tc>
                <w:tcPr>
                  <w:tcW w:w="1172" w:type="dxa"/>
                  <w:tcBorders/>
                </w:tcPr>
                <w:p>
                  <w:pPr>
                    <w:pStyle w:val="Normal"/>
                    <w:widowControl w:val="false"/>
                    <w:suppressAutoHyphens w:val="true"/>
                    <w:spacing w:before="40" w:after="40"/>
                    <w:rPr>
                      <w:rFonts w:ascii="Arial" w:hAnsi="Arial" w:cs="Arial"/>
                      <w:sz w:val="24"/>
                      <w:szCs w:val="24"/>
                    </w:rPr>
                  </w:pPr>
                  <w:r>
                    <w:rPr>
                      <w:rFonts w:cs="Arial" w:ascii="Arial" w:hAnsi="Arial"/>
                      <w:sz w:val="24"/>
                      <w:szCs w:val="24"/>
                    </w:rPr>
                    <w:t>20</w:t>
                  </w:r>
                </w:p>
              </w:tc>
              <w:tc>
                <w:tcPr>
                  <w:tcW w:w="2290" w:type="dxa"/>
                  <w:tcBorders/>
                </w:tcPr>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Leaching from natural</w:t>
                  </w:r>
                </w:p>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deposits</w:t>
                  </w:r>
                </w:p>
              </w:tc>
            </w:tr>
          </w:tbl>
          <w:p>
            <w:pPr>
              <w:pStyle w:val="Normal"/>
              <w:widowControl w:val="false"/>
              <w:rPr/>
            </w:pPr>
            <w:r>
              <w:rPr/>
            </w:r>
          </w:p>
        </w:tc>
        <w:tc>
          <w:tcPr>
            <w:tcW w:w="144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t>10/24/22</w:t>
            </w:r>
          </w:p>
        </w:tc>
        <w:tc>
          <w:tcPr>
            <w:tcW w:w="1259"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t>2250</w:t>
            </w:r>
          </w:p>
        </w:tc>
        <w:tc>
          <w:tcPr>
            <w:tcW w:w="153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t>1500 - 6400</w:t>
            </w:r>
          </w:p>
        </w:tc>
        <w:tc>
          <w:tcPr>
            <w:tcW w:w="90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t>300</w:t>
            </w:r>
          </w:p>
        </w:tc>
        <w:tc>
          <w:tcPr>
            <w:tcW w:w="1171"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t>100</w:t>
            </w:r>
          </w:p>
        </w:tc>
        <w:tc>
          <w:tcPr>
            <w:tcW w:w="2290" w:type="dxa"/>
            <w:tcBorders/>
            <w:tcMar>
              <w:left w:w="108" w:type="dxa"/>
              <w:right w:w="108" w:type="dxa"/>
            </w:tcMar>
          </w:tcPr>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Leaching from natural</w:t>
            </w:r>
          </w:p>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t>deposits; industrial wastes</w:t>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right="0" w:hanging="0"/>
              <w:rPr>
                <w:rFonts w:ascii="Arial" w:hAnsi="Arial" w:cs="Arial"/>
                <w:sz w:val="24"/>
                <w:szCs w:val="24"/>
              </w:rPr>
            </w:pPr>
            <w:r>
              <w:rPr>
                <w:rFonts w:cs="Arial" w:ascii="Arial" w:hAnsi="Arial"/>
                <w:sz w:val="24"/>
                <w:szCs w:val="24"/>
              </w:rPr>
            </w:r>
          </w:p>
        </w:tc>
        <w:tc>
          <w:tcPr>
            <w:tcW w:w="144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r>
          </w:p>
        </w:tc>
        <w:tc>
          <w:tcPr>
            <w:tcW w:w="1259"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r>
          </w:p>
        </w:tc>
        <w:tc>
          <w:tcPr>
            <w:tcW w:w="153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r>
          </w:p>
        </w:tc>
        <w:tc>
          <w:tcPr>
            <w:tcW w:w="900"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r>
          </w:p>
        </w:tc>
        <w:tc>
          <w:tcPr>
            <w:tcW w:w="1171" w:type="dxa"/>
            <w:tcBorders/>
            <w:tcMar>
              <w:left w:w="108" w:type="dxa"/>
              <w:right w:w="108" w:type="dxa"/>
            </w:tcMar>
          </w:tcPr>
          <w:p>
            <w:pPr>
              <w:pStyle w:val="Normal"/>
              <w:widowControl w:val="false"/>
              <w:suppressAutoHyphens w:val="true"/>
              <w:spacing w:before="40" w:after="40"/>
              <w:rPr>
                <w:rFonts w:ascii="Arial" w:hAnsi="Arial" w:cs="Arial"/>
                <w:sz w:val="24"/>
                <w:szCs w:val="24"/>
              </w:rPr>
            </w:pPr>
            <w:r>
              <w:rPr>
                <w:rFonts w:cs="Arial" w:ascii="Arial" w:hAnsi="Arial"/>
                <w:sz w:val="24"/>
                <w:szCs w:val="24"/>
              </w:rPr>
            </w:r>
          </w:p>
        </w:tc>
        <w:tc>
          <w:tcPr>
            <w:tcW w:w="2290" w:type="dxa"/>
            <w:tcBorders/>
            <w:tcMar>
              <w:left w:w="108" w:type="dxa"/>
              <w:right w:w="108" w:type="dxa"/>
            </w:tcMar>
          </w:tcPr>
          <w:p>
            <w:pPr>
              <w:pStyle w:val="Normal"/>
              <w:widowControl w:val="false"/>
              <w:suppressAutoHyphens w:val="true"/>
              <w:spacing w:before="40" w:after="40"/>
              <w:rPr>
                <w:rFonts w:ascii="TimesNewRomanPSMT" w:hAnsi="TimesNewRomanPSMT" w:cs="TimesNewRomanPSMT"/>
                <w:sz w:val="24"/>
                <w:szCs w:val="24"/>
              </w:rPr>
            </w:pPr>
            <w:r>
              <w:rPr>
                <w:rFonts w:cs="TimesNewRomanPSMT" w:ascii="TimesNewRomanPSMT" w:hAnsi="TimesNewRomanPSMT"/>
                <w:sz w:val="24"/>
                <w:szCs w:val="24"/>
              </w:rPr>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cs="Arial" w:ascii="Arial" w:hAnsi="Arial"/>
                <w:sz w:val="24"/>
                <w:szCs w:val="24"/>
              </w:rPr>
            </w:r>
          </w:p>
        </w:tc>
        <w:tc>
          <w:tcPr>
            <w:tcW w:w="144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25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53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90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171"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29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cs="Arial" w:ascii="Arial" w:hAnsi="Arial"/>
                <w:sz w:val="24"/>
                <w:szCs w:val="24"/>
              </w:rPr>
              <w:t xml:space="preserve"> </w:t>
            </w:r>
          </w:p>
        </w:tc>
      </w:tr>
    </w:tbl>
    <w:p>
      <w:pPr>
        <w:pStyle w:val="Caption1"/>
        <w:widowControl w:val="false"/>
        <w:rPr/>
      </w:pPr>
      <w:r>
        <w:rPr/>
        <w:t xml:space="preserve">Table </w:t>
      </w:r>
      <w:r>
        <w:rPr/>
        <w:fldChar w:fldCharType="begin"/>
      </w:r>
      <w:r>
        <w:rPr/>
        <w:instrText> SEQ Table \* ARABIC </w:instrText>
      </w:r>
      <w:r>
        <w:rPr/>
        <w:fldChar w:fldCharType="separate"/>
      </w:r>
      <w:r>
        <w:rPr/>
        <w:t>6</w:t>
      </w:r>
      <w:r>
        <w:rPr/>
        <w:fldChar w:fldCharType="end"/>
      </w:r>
      <w:r>
        <w:rPr/>
        <w:t>.  Detection of Unregulated Contaminants</w:t>
      </w:r>
    </w:p>
    <w:tbl>
      <w:tblPr>
        <w:tblStyle w:val="TableGrid"/>
        <w:tblW w:w="1083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245"/>
        <w:gridCol w:w="1440"/>
        <w:gridCol w:w="1350"/>
        <w:gridCol w:w="1530"/>
        <w:gridCol w:w="1800"/>
        <w:gridCol w:w="2470"/>
      </w:tblGrid>
      <w:tr>
        <w:trPr>
          <w:trHeight w:val="440" w:hRule="atLeast"/>
        </w:trPr>
        <w:tc>
          <w:tcPr>
            <w:tcW w:w="2245" w:type="dxa"/>
            <w:tcBorders/>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35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180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Notification Level</w:t>
            </w:r>
          </w:p>
        </w:tc>
        <w:tc>
          <w:tcPr>
            <w:tcW w:w="247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 xml:space="preserve">Health Effects </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TTHM</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5/18/22</w:t>
            </w:r>
          </w:p>
        </w:tc>
        <w:tc>
          <w:tcPr>
            <w:tcW w:w="135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5.42</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5.42</w:t>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80</w:t>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cs="Arial" w:ascii="Arial" w:hAnsi="Arial"/>
                <w:sz w:val="24"/>
                <w:szCs w:val="24"/>
              </w:rPr>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350" w:type="dxa"/>
            <w:tcBorders/>
          </w:tcPr>
          <w:p>
            <w:pPr>
              <w:pStyle w:val="Normal"/>
              <w:widowControl w:val="false"/>
              <w:suppressAutoHyphens w:val="true"/>
              <w:spacing w:before="40" w:after="40"/>
              <w:jc w:val="left"/>
              <w:rPr>
                <w:rFonts w:ascii="Arial" w:hAnsi="Arial" w:cs="Arial"/>
                <w:sz w:val="24"/>
                <w:szCs w:val="24"/>
              </w:rPr>
            </w:pPr>
            <w:r>
              <w:rPr>
                <w:rFonts w:cs="Arial" w:ascii="Arial" w:hAnsi="Arial"/>
                <w:sz w:val="24"/>
                <w:szCs w:val="24"/>
              </w:rPr>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 xml:space="preserve"> </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cs="Arial" w:ascii="Arial" w:hAnsi="Arial"/>
                <w:sz w:val="24"/>
                <w:szCs w:val="24"/>
              </w:rPr>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350" w:type="dxa"/>
            <w:tcBorders/>
          </w:tcPr>
          <w:p>
            <w:pPr>
              <w:pStyle w:val="Normal"/>
              <w:widowControl w:val="false"/>
              <w:suppressAutoHyphens w:val="true"/>
              <w:spacing w:before="40" w:after="40"/>
              <w:jc w:val="left"/>
              <w:rPr>
                <w:rFonts w:ascii="Arial" w:hAnsi="Arial" w:cs="Arial"/>
                <w:sz w:val="24"/>
                <w:szCs w:val="24"/>
              </w:rPr>
            </w:pPr>
            <w:r>
              <w:rPr>
                <w:rFonts w:cs="Arial" w:ascii="Arial" w:hAnsi="Arial"/>
                <w:sz w:val="24"/>
                <w:szCs w:val="24"/>
              </w:rPr>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 xml:space="preserve"> </w:t>
            </w:r>
          </w:p>
        </w:tc>
      </w:tr>
    </w:tbl>
    <w:p>
      <w:pPr>
        <w:pStyle w:val="Heading3"/>
        <w:rPr>
          <w:color w:val="auto"/>
        </w:rPr>
      </w:pPr>
      <w:bookmarkStart w:id="8" w:name="_Toc58336719"/>
      <w:r>
        <w:rPr>
          <w:color w:val="auto"/>
        </w:rPr>
        <w:t>Additional General Information on Drinking Water</w:t>
      </w:r>
      <w:bookmarkEnd w:id="8"/>
    </w:p>
    <w:p>
      <w:pPr>
        <w:pStyle w:val="TextBody"/>
        <w:tabs>
          <w:tab w:val="clear" w:pos="720"/>
          <w:tab w:val="left" w:pos="9900" w:leader="none"/>
        </w:tabs>
        <w:spacing w:before="0" w:after="240"/>
        <w:jc w:val="left"/>
        <w:rPr>
          <w:rFonts w:ascii="Arial" w:hAnsi="Arial" w:cs="Arial"/>
          <w:sz w:val="24"/>
          <w:szCs w:val="24"/>
        </w:rPr>
      </w:pPr>
      <w:r>
        <w:rPr>
          <w:rFonts w:cs="Arial" w:ascii="Arial" w:hAnsi="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pStyle w:val="TextBody"/>
        <w:spacing w:before="0" w:after="240"/>
        <w:jc w:val="left"/>
        <w:rPr>
          <w:rFonts w:ascii="Arial" w:hAnsi="Arial" w:cs="Arial"/>
          <w:sz w:val="24"/>
          <w:szCs w:val="24"/>
        </w:rPr>
      </w:pPr>
      <w:r>
        <w:rPr>
          <w:rFonts w:cs="Arial" w:ascii="Arial" w:hAnsi="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cs="Arial" w:ascii="Arial" w:hAnsi="Arial"/>
          <w:i/>
          <w:sz w:val="24"/>
          <w:szCs w:val="24"/>
        </w:rPr>
        <w:t>Cryptosporidium</w:t>
      </w:r>
      <w:r>
        <w:rPr>
          <w:rFonts w:cs="Arial" w:ascii="Arial" w:hAnsi="Arial"/>
          <w:sz w:val="24"/>
          <w:szCs w:val="24"/>
        </w:rPr>
        <w:t xml:space="preserve"> and other microbial contaminants are available from the Safe Drinking Water Hotline (1-800-426-4791).</w:t>
      </w:r>
    </w:p>
    <w:p>
      <w:pPr>
        <w:pStyle w:val="Normal"/>
        <w:spacing w:before="0" w:after="240"/>
        <w:rPr>
          <w:rFonts w:ascii="Arial" w:hAnsi="Arial" w:cs="Arial"/>
          <w:sz w:val="24"/>
          <w:szCs w:val="24"/>
        </w:rPr>
      </w:pPr>
      <w:r>
        <w:rPr>
          <w:rFonts w:cs="Arial" w:ascii="Arial" w:hAnsi="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cs="Arial" w:ascii="Arial" w:hAnsi="Arial"/>
          <w:bCs/>
          <w:sz w:val="24"/>
          <w:szCs w:val="24"/>
          <w:u w:val="single"/>
        </w:rPr>
        <w:t>[</w:t>
      </w:r>
      <w:r>
        <w:rPr>
          <w:rFonts w:cs="Arial" w:ascii="Arial" w:hAnsi="Arial"/>
          <w:bCs/>
          <w:sz w:val="24"/>
          <w:szCs w:val="24"/>
        </w:rPr>
        <w:t>Enter Water System’s Name</w:t>
      </w:r>
      <w:r>
        <w:rPr>
          <w:rFonts w:cs="Arial" w:ascii="Arial" w:hAnsi="Arial"/>
          <w:bCs/>
          <w:sz w:val="24"/>
          <w:szCs w:val="24"/>
          <w:u w:val="single"/>
        </w:rPr>
        <w:t>]</w:t>
      </w:r>
      <w:r>
        <w:rPr>
          <w:rFonts w:cs="Arial" w:ascii="Arial" w:hAnsi="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Pr>
          <w:rFonts w:cs="Arial" w:ascii="Arial" w:hAnsi="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2">
        <w:r>
          <w:rPr>
            <w:rStyle w:val="InternetLink"/>
            <w:rFonts w:cs="Arial" w:ascii="Arial" w:hAnsi="Arial"/>
            <w:color w:val="auto"/>
            <w:sz w:val="24"/>
            <w:szCs w:val="24"/>
          </w:rPr>
          <w:t>http://www.epa.gov/lead</w:t>
        </w:r>
      </w:hyperlink>
      <w:r>
        <w:rPr>
          <w:rFonts w:cs="Arial" w:ascii="Arial" w:hAnsi="Arial"/>
          <w:sz w:val="24"/>
          <w:szCs w:val="24"/>
        </w:rPr>
        <w:t>.</w:t>
      </w:r>
    </w:p>
    <w:p>
      <w:pPr>
        <w:pStyle w:val="TextBody"/>
        <w:widowControl/>
        <w:tabs>
          <w:tab w:val="clear" w:pos="720"/>
          <w:tab w:val="left" w:pos="330" w:leader="none"/>
        </w:tabs>
        <w:spacing w:before="60" w:after="60"/>
        <w:ind w:left="331" w:hanging="0"/>
        <w:jc w:val="left"/>
        <w:rPr>
          <w:rFonts w:ascii="Arial" w:hAnsi="Arial" w:cs="Arial"/>
          <w:sz w:val="24"/>
        </w:rPr>
      </w:pPr>
      <w:r>
        <w:rPr>
          <w:rFonts w:eastAsia="Times New Roman" w:cs="Arial" w:ascii="Arial" w:hAnsi="Arial"/>
          <w:kern w:val="0"/>
          <w:sz w:val="24"/>
          <w:szCs w:val="24"/>
          <w:lang w:val="en-US" w:eastAsia="en-US" w:bidi="ar-SA"/>
        </w:rPr>
        <w:t>“</w:t>
      </w:r>
      <w:r>
        <w:rPr>
          <w:rFonts w:eastAsia="Times New Roman" w:cs="Arial" w:ascii="Arial" w:hAnsi="Arial"/>
          <w:kern w:val="0"/>
          <w:sz w:val="24"/>
          <w:szCs w:val="24"/>
          <w:lang w:val="en-US" w:eastAsia="en-US" w:bidi="ar-SA"/>
        </w:rPr>
        <w:t>Iron was found at levels that exceed the secondary MCL of 300 µg/L. The iron MCL was set to protect you against unpleasant aesthetic effects (e.g., color, taste, and odor) and the staining of plumbing fixtures (e.g., tubs and sinks) and clothing while washing.  The high iron levels are due to leaching of natural deposits.”</w:t>
      </w:r>
    </w:p>
    <w:p>
      <w:pPr>
        <w:pStyle w:val="TextBody"/>
        <w:widowControl/>
        <w:tabs>
          <w:tab w:val="clear" w:pos="720"/>
          <w:tab w:val="left" w:pos="330" w:leader="none"/>
        </w:tabs>
        <w:spacing w:before="60" w:after="60"/>
        <w:ind w:left="331" w:hanging="0"/>
        <w:jc w:val="left"/>
        <w:rPr>
          <w:rFonts w:ascii="Arial" w:hAnsi="Arial" w:cs="Arial"/>
          <w:sz w:val="24"/>
        </w:rPr>
      </w:pPr>
      <w:r>
        <w:rPr>
          <w:rFonts w:cs="Arial" w:ascii="Arial" w:hAnsi="Arial"/>
          <w:sz w:val="24"/>
        </w:rPr>
      </w:r>
    </w:p>
    <w:p>
      <w:pPr>
        <w:pStyle w:val="Normal"/>
        <w:spacing w:before="0" w:after="240"/>
        <w:rPr>
          <w:rFonts w:ascii="Arial" w:hAnsi="Arial" w:cs="Arial"/>
          <w:bCs/>
          <w:sz w:val="24"/>
        </w:rPr>
      </w:pPr>
      <w:r>
        <w:rPr>
          <w:rFonts w:cs="Arial" w:ascii="Arial" w:hAnsi="Arial"/>
          <w:bCs/>
          <w:sz w:val="24"/>
        </w:rPr>
        <w:t xml:space="preserve">Additional Special Language for Nitrate, Arsenic, Lead, Radon, and </w:t>
      </w:r>
      <w:r>
        <w:rPr>
          <w:rFonts w:cs="Arial" w:ascii="Arial" w:hAnsi="Arial"/>
          <w:bCs/>
          <w:i/>
          <w:sz w:val="24"/>
        </w:rPr>
        <w:t>Cryptosporidium</w:t>
      </w:r>
      <w:r>
        <w:rPr>
          <w:rFonts w:cs="Arial" w:ascii="Arial" w:hAnsi="Arial"/>
          <w:bCs/>
          <w:sz w:val="24"/>
        </w:rPr>
        <w:t>:  NA</w:t>
      </w:r>
    </w:p>
    <w:p>
      <w:pPr>
        <w:pStyle w:val="Normal"/>
        <w:spacing w:before="0" w:after="240"/>
        <w:rPr>
          <w:rFonts w:ascii="Arial" w:hAnsi="Arial" w:cs="Arial"/>
          <w:sz w:val="24"/>
          <w:szCs w:val="24"/>
        </w:rPr>
      </w:pPr>
      <w:r>
        <w:rPr>
          <w:rFonts w:cs="Arial" w:ascii="Arial" w:hAnsi="Arial"/>
          <w:sz w:val="24"/>
          <w:szCs w:val="24"/>
        </w:rPr>
        <w:t>State Revised Total Coliform Rule (RTCR): [Enter Additional Information Described in Instructions for SWS CCR Document]</w:t>
      </w:r>
    </w:p>
    <w:p>
      <w:pPr>
        <w:pStyle w:val="Heading3"/>
        <w:keepNext w:val="true"/>
        <w:rPr>
          <w:color w:val="auto"/>
        </w:rPr>
      </w:pPr>
      <w:bookmarkStart w:id="9" w:name="_Toc58336720"/>
      <w:r>
        <w:rPr>
          <w:color w:val="auto"/>
        </w:rPr>
        <w:t>Summary Information for Violation of a MCL, MRDL, AL, TT, or Monitoring and Reporting Requirement</w:t>
      </w:r>
      <w:bookmarkEnd w:id="9"/>
    </w:p>
    <w:p>
      <w:pPr>
        <w:pStyle w:val="Caption1"/>
        <w:spacing w:beforeAutospacing="1" w:after="120"/>
        <w:rPr/>
      </w:pPr>
      <w:r>
        <w:rPr/>
        <w:t>Table 7. Violation of a MCL, MRDL, AL, TT or Monitoring Reporting Requirement</w:t>
      </w:r>
    </w:p>
    <w:tbl>
      <w:tblPr>
        <w:tblStyle w:val="TableGrid"/>
        <w:tblW w:w="10642"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1975"/>
        <w:gridCol w:w="2248"/>
        <w:gridCol w:w="1890"/>
        <w:gridCol w:w="2162"/>
        <w:gridCol w:w="2367"/>
      </w:tblGrid>
      <w:tr>
        <w:trPr>
          <w:trHeight w:val="457" w:hRule="atLeast"/>
        </w:trPr>
        <w:tc>
          <w:tcPr>
            <w:tcW w:w="1975"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Violation</w:t>
            </w:r>
          </w:p>
        </w:tc>
        <w:tc>
          <w:tcPr>
            <w:tcW w:w="2248"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Explanation</w:t>
            </w:r>
          </w:p>
        </w:tc>
        <w:tc>
          <w:tcPr>
            <w:tcW w:w="189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Duration</w:t>
            </w:r>
          </w:p>
        </w:tc>
        <w:tc>
          <w:tcPr>
            <w:tcW w:w="2162"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Actions Taken to Correct Violation</w:t>
            </w:r>
          </w:p>
        </w:tc>
        <w:tc>
          <w:tcPr>
            <w:tcW w:w="2367"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Health Effects Language</w:t>
            </w:r>
          </w:p>
        </w:tc>
      </w:tr>
      <w:tr>
        <w:trPr>
          <w:trHeight w:val="449" w:hRule="atLeast"/>
        </w:trPr>
        <w:tc>
          <w:tcPr>
            <w:tcW w:w="197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none</w:t>
            </w:r>
          </w:p>
        </w:tc>
        <w:tc>
          <w:tcPr>
            <w:tcW w:w="2248"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Explanation]</w:t>
            </w:r>
          </w:p>
        </w:tc>
        <w:tc>
          <w:tcPr>
            <w:tcW w:w="189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 Taken]</w:t>
            </w:r>
          </w:p>
        </w:tc>
        <w:tc>
          <w:tcPr>
            <w:tcW w:w="236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49" w:hRule="atLeast"/>
        </w:trPr>
        <w:tc>
          <w:tcPr>
            <w:tcW w:w="197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Type]</w:t>
            </w:r>
          </w:p>
        </w:tc>
        <w:tc>
          <w:tcPr>
            <w:tcW w:w="2248"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Explanation]</w:t>
            </w:r>
          </w:p>
        </w:tc>
        <w:tc>
          <w:tcPr>
            <w:tcW w:w="189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 Taken]</w:t>
            </w:r>
          </w:p>
        </w:tc>
        <w:tc>
          <w:tcPr>
            <w:tcW w:w="236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bl>
    <w:p>
      <w:pPr>
        <w:pStyle w:val="Normal"/>
        <w:rPr>
          <w:rFonts w:ascii="Arial" w:hAnsi="Arial" w:cs="Arial"/>
          <w:sz w:val="24"/>
          <w:szCs w:val="24"/>
        </w:rPr>
      </w:pPr>
      <w:r>
        <w:rPr>
          <w:rFonts w:cs="Arial" w:ascii="Arial" w:hAnsi="Arial"/>
          <w:sz w:val="24"/>
          <w:szCs w:val="24"/>
        </w:rPr>
      </w:r>
    </w:p>
    <w:p>
      <w:pPr>
        <w:pStyle w:val="Heading3"/>
        <w:keepNext w:val="true"/>
        <w:rPr>
          <w:color w:val="auto"/>
        </w:rPr>
      </w:pPr>
      <w:bookmarkStart w:id="10" w:name="_Toc58336721"/>
      <w:r>
        <w:rPr>
          <w:color w:val="auto"/>
        </w:rPr>
        <w:t>For Water Systems Providing Groundwater as a Source of Drinking Water</w:t>
      </w:r>
      <w:bookmarkEnd w:id="10"/>
    </w:p>
    <w:p>
      <w:pPr>
        <w:pStyle w:val="Caption1"/>
        <w:keepNext w:val="false"/>
        <w:spacing w:before="0" w:after="120"/>
        <w:rPr/>
      </w:pPr>
      <w:r>
        <w:rPr/>
        <w:t>Table 8.  Sampling Results Showing Fecal Indicator-Positive Groundwater Source Samples</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515"/>
        <w:gridCol w:w="1620"/>
        <w:gridCol w:w="1440"/>
        <w:gridCol w:w="1080"/>
        <w:gridCol w:w="1439"/>
        <w:gridCol w:w="2741"/>
      </w:tblGrid>
      <w:tr>
        <w:trPr>
          <w:tblHeader w:val="true"/>
        </w:trPr>
        <w:tc>
          <w:tcPr>
            <w:tcW w:w="2515"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Microbiological Contaminants (complete if fecal-indicator detected)</w:t>
            </w:r>
          </w:p>
        </w:tc>
        <w:tc>
          <w:tcPr>
            <w:tcW w:w="1620" w:type="dxa"/>
            <w:tcBorders/>
            <w:vAlign w:val="center"/>
          </w:tcPr>
          <w:p>
            <w:pPr>
              <w:pStyle w:val="Normal"/>
              <w:widowControl w:val="false"/>
              <w:suppressAutoHyphens w:val="true"/>
              <w:spacing w:lineRule="exact" w:line="220" w:before="40" w:after="40"/>
              <w:ind w:left="-108" w:right="-90" w:hanging="0"/>
              <w:jc w:val="center"/>
              <w:rPr>
                <w:rFonts w:ascii="Arial" w:hAnsi="Arial" w:cs="Arial"/>
                <w:b/>
                <w:b/>
                <w:sz w:val="24"/>
                <w:szCs w:val="24"/>
              </w:rPr>
            </w:pPr>
            <w:r>
              <w:rPr>
                <w:rFonts w:eastAsia="Times New Roman" w:cs="Arial" w:ascii="Arial" w:hAnsi="Arial"/>
                <w:b/>
                <w:kern w:val="0"/>
                <w:sz w:val="24"/>
                <w:szCs w:val="24"/>
                <w:lang w:val="en-US" w:eastAsia="en-US" w:bidi="ar-SA"/>
              </w:rPr>
              <w:t>Total No. of Detections</w:t>
            </w:r>
          </w:p>
        </w:tc>
        <w:tc>
          <w:tcPr>
            <w:tcW w:w="144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Dates</w:t>
            </w:r>
          </w:p>
        </w:tc>
        <w:tc>
          <w:tcPr>
            <w:tcW w:w="108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MCL [MRDL]</w:t>
            </w:r>
          </w:p>
        </w:tc>
        <w:tc>
          <w:tcPr>
            <w:tcW w:w="1439"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PHG (MCLG) [MRDLG]</w:t>
            </w:r>
          </w:p>
        </w:tc>
        <w:tc>
          <w:tcPr>
            <w:tcW w:w="2741"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i/>
                <w:i/>
                <w:sz w:val="24"/>
                <w:szCs w:val="24"/>
              </w:rPr>
            </w:pPr>
            <w:r>
              <w:rPr>
                <w:rFonts w:eastAsia="Times New Roman" w:cs="Arial" w:ascii="Arial" w:hAnsi="Arial"/>
                <w:i/>
                <w:kern w:val="0"/>
                <w:sz w:val="24"/>
                <w:szCs w:val="24"/>
                <w:lang w:val="en-US" w:eastAsia="en-US" w:bidi="ar-SA"/>
              </w:rPr>
              <w:t>E. coli</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Enterococci</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TT</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Coliphage</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TT</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bl>
    <w:p>
      <w:pPr>
        <w:pStyle w:val="Heading3"/>
        <w:rPr>
          <w:color w:val="auto"/>
          <w:sz w:val="28"/>
        </w:rPr>
      </w:pPr>
      <w:r>
        <w:rPr>
          <w:color w:val="auto"/>
          <w:sz w:val="28"/>
        </w:rPr>
      </w:r>
    </w:p>
    <w:p>
      <w:pPr>
        <w:pStyle w:val="Heading3"/>
        <w:keepNext w:val="true"/>
        <w:rPr>
          <w:color w:val="auto"/>
        </w:rPr>
      </w:pPr>
      <w:bookmarkStart w:id="11" w:name="_Toc58336723"/>
      <w:r>
        <w:rPr>
          <w:color w:val="auto"/>
        </w:rPr>
        <w:t>For Systems Providing Surface Water as a Source of Drinking Water</w:t>
      </w:r>
      <w:bookmarkEnd w:id="11"/>
      <w:r>
        <w:rPr>
          <w:color w:val="auto"/>
        </w:rPr>
        <w:t xml:space="preserve">  NA</w:t>
      </w:r>
    </w:p>
    <w:p>
      <w:pPr>
        <w:pStyle w:val="Caption1"/>
        <w:spacing w:before="120" w:after="120"/>
        <w:rPr>
          <w:rFonts w:ascii="Arial" w:hAnsi="Arial" w:cs="Arial"/>
          <w:b w:val="false"/>
          <w:b w:val="false"/>
          <w:bCs/>
          <w:i/>
          <w:i/>
          <w:sz w:val="24"/>
          <w:szCs w:val="24"/>
        </w:rPr>
      </w:pPr>
      <w:r>
        <w:rPr>
          <w:rFonts w:cs="Arial"/>
          <w:b w:val="false"/>
          <w:bCs/>
          <w:i/>
          <w:sz w:val="24"/>
          <w:szCs w:val="24"/>
        </w:rPr>
      </w:r>
    </w:p>
    <w:p>
      <w:pPr>
        <w:pStyle w:val="Heading3"/>
        <w:keepNext w:val="true"/>
        <w:rPr>
          <w:color w:val="auto"/>
        </w:rPr>
      </w:pPr>
      <w:r>
        <w:rPr>
          <w:color w:val="auto"/>
        </w:rPr>
      </w:r>
    </w:p>
    <w:p>
      <w:pPr>
        <w:pStyle w:val="Heading3"/>
        <w:keepNext w:val="true"/>
        <w:rPr>
          <w:color w:val="auto"/>
        </w:rPr>
      </w:pPr>
      <w:bookmarkStart w:id="12" w:name="_Toc58336726"/>
      <w:r>
        <w:rPr>
          <w:color w:val="auto"/>
        </w:rPr>
        <w:t>Summary Information for Revised Total Coliform Rule Level 1 and Level 2 Assessment Requirements</w:t>
      </w:r>
      <w:bookmarkEnd w:id="12"/>
    </w:p>
    <w:p>
      <w:pPr>
        <w:pStyle w:val="Normal"/>
        <w:rPr>
          <w:rFonts w:ascii="Arial" w:hAnsi="Arial" w:cs="Arial"/>
          <w:sz w:val="24"/>
          <w:szCs w:val="24"/>
        </w:rPr>
      </w:pPr>
      <w:r>
        <w:rPr>
          <w:rFonts w:cs="Arial" w:ascii="Arial" w:hAnsi="Arial"/>
          <w:sz w:val="24"/>
          <w:szCs w:val="24"/>
        </w:rPr>
        <w:t xml:space="preserve">If a water system is required to comply with a Level 1 or Level 2 assessment requirement that is not due to an </w:t>
      </w:r>
      <w:r>
        <w:rPr>
          <w:rFonts w:cs="Arial" w:ascii="Arial" w:hAnsi="Arial"/>
          <w:i/>
          <w:iCs/>
          <w:sz w:val="24"/>
          <w:szCs w:val="24"/>
        </w:rPr>
        <w:t>E. coli</w:t>
      </w:r>
      <w:r>
        <w:rPr>
          <w:rFonts w:cs="Arial" w:ascii="Arial" w:hAnsi="Arial"/>
          <w:sz w:val="24"/>
          <w:szCs w:val="24"/>
        </w:rPr>
        <w:t xml:space="preserve"> MCL violation, include the following information below [22 CCR section 64481(n)(1)].</w:t>
      </w:r>
    </w:p>
    <w:p>
      <w:pPr>
        <w:pStyle w:val="Normal"/>
        <w:rPr>
          <w:rFonts w:ascii="Arial" w:hAnsi="Arial" w:cs="Arial"/>
          <w:sz w:val="24"/>
          <w:szCs w:val="24"/>
        </w:rPr>
      </w:pPr>
      <w:r>
        <w:rPr>
          <w:rFonts w:cs="Arial" w:ascii="Arial" w:hAnsi="Arial"/>
          <w:sz w:val="24"/>
          <w:szCs w:val="24"/>
        </w:rPr>
      </w:r>
    </w:p>
    <w:p>
      <w:pPr>
        <w:pStyle w:val="Heading4"/>
        <w:rPr>
          <w:color w:val="auto"/>
        </w:rPr>
      </w:pPr>
      <w:r>
        <w:rPr>
          <w:color w:val="auto"/>
        </w:rPr>
        <w:t xml:space="preserve">Level 1 or Level 2 Assessment Requirement not Due to an </w:t>
      </w:r>
      <w:r>
        <w:rPr>
          <w:i/>
          <w:color w:val="auto"/>
        </w:rPr>
        <w:t>E. coli</w:t>
      </w:r>
      <w:r>
        <w:rPr>
          <w:color w:val="auto"/>
        </w:rPr>
        <w:t xml:space="preserve"> MCL Violation</w:t>
      </w:r>
    </w:p>
    <w:p>
      <w:pPr>
        <w:pStyle w:val="Normal"/>
        <w:pBdr>
          <w:top w:val="single" w:sz="4" w:space="1" w:color="000000"/>
          <w:left w:val="single" w:sz="4" w:space="4" w:color="000000"/>
          <w:bottom w:val="single" w:sz="4" w:space="1" w:color="000000"/>
          <w:right w:val="single" w:sz="4" w:space="4" w:color="000000"/>
        </w:pBdr>
        <w:spacing w:beforeAutospacing="1" w:after="240"/>
        <w:rPr>
          <w:rFonts w:ascii="Arial" w:hAnsi="Arial" w:cs="Arial"/>
          <w:sz w:val="24"/>
          <w:szCs w:val="24"/>
        </w:rPr>
      </w:pPr>
      <w:r>
        <w:rPr>
          <w:rFonts w:cs="Arial" w:ascii="Arial" w:hAnsi="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pPr>
        <w:pStyle w:val="Normal"/>
        <w:spacing w:before="0" w:after="240"/>
        <w:rPr>
          <w:rFonts w:ascii="Arial" w:hAnsi="Arial" w:cs="Arial"/>
          <w:sz w:val="24"/>
          <w:szCs w:val="24"/>
        </w:rPr>
      </w:pPr>
      <w:r>
        <w:rPr>
          <w:rFonts w:cs="Arial" w:ascii="Arial" w:hAnsi="Arial"/>
          <w:sz w:val="24"/>
          <w:szCs w:val="24"/>
        </w:rPr>
        <w:t>The water system shall include the following statements, as appropriate:</w:t>
      </w:r>
    </w:p>
    <w:p>
      <w:pPr>
        <w:pStyle w:val="Normal"/>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sz w:val="24"/>
          <w:szCs w:val="24"/>
        </w:rPr>
        <w:t>During the past year we were required to conduct 1 Level 1 assessment(s).  1 Level 1 assessment was completed.  In addition, we were required to take no corrective actions and we completed all of these actions.</w:t>
      </w:r>
    </w:p>
    <w:p>
      <w:pPr>
        <w:pStyle w:val="Normal"/>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sz w:val="24"/>
          <w:szCs w:val="24"/>
        </w:rPr>
        <w:t>During the past year 0 Level 2 assessments were required to be completed for our water system.  0 Level 2 assessments were completed.  In addition, we were required to take 0 corrective actions and we completed all of these actions.</w:t>
      </w:r>
    </w:p>
    <w:p>
      <w:pPr>
        <w:pStyle w:val="Normal"/>
        <w:spacing w:before="0" w:after="240"/>
        <w:rPr>
          <w:rFonts w:ascii="Arial" w:hAnsi="Arial" w:cs="Arial"/>
          <w:sz w:val="24"/>
          <w:szCs w:val="24"/>
        </w:rPr>
      </w:pPr>
      <w:r>
        <w:rPr/>
      </w:r>
    </w:p>
    <w:sectPr>
      <w:headerReference w:type="default" r:id="rId3"/>
      <w:footerReference w:type="default" r:id="rId4"/>
      <w:type w:val="nextPage"/>
      <w:pgSz w:w="12240" w:h="15840"/>
      <w:pgMar w:left="720" w:right="720" w:header="432" w:top="864" w:footer="432" w:bottom="864"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Footlight MT Light">
    <w:charset w:val="00"/>
    <w:family w:val="roman"/>
    <w:pitch w:val="variable"/>
  </w:font>
  <w:font w:name="Comic Sans MS">
    <w:charset w:val="00"/>
    <w:family w:val="roman"/>
    <w:pitch w:val="variable"/>
  </w:font>
  <w:font w:name="Tahoma">
    <w:charset w:val="00"/>
    <w:family w:val="roman"/>
    <w:pitch w:val="variable"/>
  </w:font>
  <w:font w:name="Liberation Sans">
    <w:altName w:val="Arial"/>
    <w:charset w:val="00"/>
    <w:family w:val="roman"/>
    <w:pitch w:val="variable"/>
  </w:font>
  <w:font w:name="Calibri Light">
    <w:charset w:val="00"/>
    <w:family w:val="roman"/>
    <w:pitch w:val="variable"/>
  </w:font>
  <w:font w:name="sans-serif">
    <w:altName w:val="Arial"/>
    <w:charset w:val="00"/>
    <w:family w:val="roman"/>
    <w:pitch w:val="variable"/>
  </w:font>
  <w:font w:name="serif">
    <w:charset w:val="00"/>
    <w:family w:val="roman"/>
    <w:pitch w:val="variable"/>
  </w:font>
  <w:font w:name="SimSun">
    <w:charset w:val="00"/>
    <w:family w:val="roman"/>
    <w:pitch w:val="variable"/>
  </w:font>
  <w:font w:name="TimesNewRomanPSM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right" w:pos="10800" w:leader="none"/>
      </w:tabs>
      <w:rPr>
        <w:rFonts w:ascii="Arial" w:hAnsi="Arial" w:cs="Arial"/>
        <w:sz w:val="24"/>
        <w:szCs w:val="24"/>
      </w:rPr>
    </w:pPr>
    <w:r>
      <w:rPr>
        <w:rFonts w:cs="Arial" w:ascii="Arial" w:hAnsi="Arial"/>
        <w:sz w:val="24"/>
        <w:szCs w:val="24"/>
      </w:rPr>
      <w:t>SWS CCR</w:t>
      <w:tab/>
      <w:t>Revised January 2023</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right" w:pos="10800" w:leader="none"/>
      </w:tabs>
      <w:spacing w:before="0" w:after="480"/>
      <w:rPr/>
    </w:pPr>
    <w:r>
      <w:rPr>
        <w:rFonts w:cs="Arial" w:ascii="Arial" w:hAnsi="Arial"/>
        <w:sz w:val="24"/>
        <w:szCs w:val="24"/>
      </w:rPr>
      <w:t>Consumer Confidence Report</w:t>
      <w:tab/>
      <w:t xml:space="preserve">Page </w:t>
    </w:r>
    <w:r>
      <w:rPr>
        <w:rStyle w:val="Pagenumber"/>
        <w:rFonts w:cs="Arial" w:ascii="Arial" w:hAnsi="Arial"/>
        <w:sz w:val="24"/>
        <w:szCs w:val="24"/>
      </w:rPr>
      <w:fldChar w:fldCharType="begin"/>
    </w:r>
    <w:r>
      <w:rPr>
        <w:rStyle w:val="Pagenumber"/>
        <w:sz w:val="24"/>
        <w:szCs w:val="24"/>
        <w:rFonts w:cs="Arial" w:ascii="Arial" w:hAnsi="Arial"/>
      </w:rPr>
      <w:instrText> PAGE </w:instrText>
    </w:r>
    <w:r>
      <w:rPr>
        <w:rStyle w:val="Pagenumber"/>
        <w:sz w:val="24"/>
        <w:szCs w:val="24"/>
        <w:rFonts w:cs="Arial" w:ascii="Arial" w:hAnsi="Arial"/>
      </w:rPr>
      <w:fldChar w:fldCharType="separate"/>
    </w:r>
    <w:r>
      <w:rPr>
        <w:rStyle w:val="Pagenumber"/>
        <w:sz w:val="24"/>
        <w:szCs w:val="24"/>
        <w:rFonts w:cs="Arial" w:ascii="Arial" w:hAnsi="Arial"/>
      </w:rPr>
      <w:t>8</w:t>
    </w:r>
    <w:r>
      <w:rPr>
        <w:rStyle w:val="Pagenumber"/>
        <w:sz w:val="24"/>
        <w:szCs w:val="24"/>
        <w:rFonts w:cs="Arial" w:ascii="Arial" w:hAnsi="Arial"/>
      </w:rPr>
      <w:fldChar w:fldCharType="end"/>
    </w:r>
    <w:r>
      <w:rPr>
        <w:rStyle w:val="Pagenumber"/>
        <w:rFonts w:cs="Arial" w:ascii="Arial" w:hAnsi="Arial"/>
        <w:sz w:val="24"/>
        <w:szCs w:val="24"/>
      </w:rPr>
      <w:t xml:space="preserve"> of </w:t>
    </w:r>
    <w:r>
      <w:rPr>
        <w:rStyle w:val="Pagenumber"/>
        <w:rFonts w:cs="Arial" w:ascii="Arial" w:hAnsi="Arial"/>
        <w:sz w:val="24"/>
        <w:szCs w:val="24"/>
      </w:rPr>
      <w:fldChar w:fldCharType="begin"/>
    </w:r>
    <w:r>
      <w:rPr>
        <w:rStyle w:val="Pagenumber"/>
        <w:sz w:val="24"/>
        <w:szCs w:val="24"/>
        <w:rFonts w:cs="Arial" w:ascii="Arial" w:hAnsi="Arial"/>
      </w:rPr>
      <w:instrText> NUMPAGES </w:instrText>
    </w:r>
    <w:r>
      <w:rPr>
        <w:rStyle w:val="Pagenumber"/>
        <w:sz w:val="24"/>
        <w:szCs w:val="24"/>
        <w:rFonts w:cs="Arial" w:ascii="Arial" w:hAnsi="Arial"/>
      </w:rPr>
      <w:fldChar w:fldCharType="separate"/>
    </w:r>
    <w:r>
      <w:rPr>
        <w:rStyle w:val="Pagenumber"/>
        <w:sz w:val="24"/>
        <w:szCs w:val="24"/>
        <w:rFonts w:cs="Arial" w:ascii="Arial" w:hAnsi="Arial"/>
      </w:rPr>
      <w:t>8</w:t>
    </w:r>
    <w:r>
      <w:rPr>
        <w:rStyle w:val="Pagenumber"/>
        <w:sz w:val="24"/>
        <w:szCs w:val="24"/>
        <w:rFonts w:cs="Arial" w:ascii="Arial" w:hAnsi="Arial"/>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en-US" w:bidi="ar-SA"/>
    </w:rPr>
  </w:style>
  <w:style w:type="paragraph" w:styleId="Heading1">
    <w:name w:val="Heading 1"/>
    <w:basedOn w:val="Heading2"/>
    <w:next w:val="Normal"/>
    <w:qFormat/>
    <w:rsid w:val="00bf628d"/>
    <w:pPr>
      <w:spacing w:before="240" w:after="0"/>
      <w:outlineLvl w:val="0"/>
    </w:pPr>
    <w:rPr>
      <w:sz w:val="32"/>
      <w:szCs w:val="32"/>
    </w:rPr>
  </w:style>
  <w:style w:type="paragraph" w:styleId="Heading2">
    <w:name w:val="Heading 2"/>
    <w:basedOn w:val="Normal"/>
    <w:next w:val="Normal"/>
    <w:qFormat/>
    <w:rsid w:val="00bf628d"/>
    <w:pPr>
      <w:keepNext w:val="true"/>
      <w:spacing w:before="360" w:after="240"/>
      <w:outlineLvl w:val="1"/>
    </w:pPr>
    <w:rPr>
      <w:rFonts w:ascii="Arial" w:hAnsi="Arial" w:cs="Arial"/>
      <w:b/>
      <w:bCs/>
      <w:sz w:val="28"/>
      <w:szCs w:val="24"/>
    </w:rPr>
  </w:style>
  <w:style w:type="paragraph" w:styleId="Heading3">
    <w:name w:val="Heading 3"/>
    <w:basedOn w:val="Caption1"/>
    <w:next w:val="Normal"/>
    <w:qFormat/>
    <w:rsid w:val="00bf628d"/>
    <w:pPr>
      <w:keepNext w:val="false"/>
      <w:spacing w:before="240" w:after="240"/>
      <w:outlineLvl w:val="2"/>
    </w:pPr>
    <w:rPr>
      <w:bCs/>
      <w:color w:val="0000FF"/>
    </w:rPr>
  </w:style>
  <w:style w:type="paragraph" w:styleId="Heading4">
    <w:name w:val="Heading 4"/>
    <w:basedOn w:val="Heading3"/>
    <w:next w:val="Normal"/>
    <w:qFormat/>
    <w:rsid w:val="00bf628d"/>
    <w:pPr>
      <w:keepNext w:val="true"/>
      <w:keepLines/>
      <w:spacing w:before="0" w:after="240"/>
      <w:outlineLvl w:val="3"/>
    </w:pPr>
    <w:rPr>
      <w:iCs/>
      <w:color w:val="000000" w:themeColor="text1"/>
    </w:rPr>
  </w:style>
  <w:style w:type="paragraph" w:styleId="Heading5">
    <w:name w:val="Heading 5"/>
    <w:basedOn w:val="Normal"/>
    <w:next w:val="Normal"/>
    <w:qFormat/>
    <w:pPr>
      <w:keepNext w:val="true"/>
      <w:jc w:val="center"/>
      <w:outlineLvl w:val="4"/>
    </w:pPr>
    <w:rPr>
      <w:rFonts w:ascii="Footlight MT Light" w:hAnsi="Footlight MT Light"/>
      <w:b/>
      <w:sz w:val="22"/>
    </w:rPr>
  </w:style>
  <w:style w:type="paragraph" w:styleId="Heading6">
    <w:name w:val="Heading 6"/>
    <w:basedOn w:val="Normal"/>
    <w:next w:val="Normal"/>
    <w:qFormat/>
    <w:pPr>
      <w:keepNext w:val="true"/>
      <w:jc w:val="right"/>
      <w:outlineLvl w:val="5"/>
    </w:pPr>
    <w:rPr>
      <w:rFonts w:ascii="Footlight MT Light" w:hAnsi="Footlight MT Light"/>
      <w:sz w:val="24"/>
    </w:rPr>
  </w:style>
  <w:style w:type="paragraph" w:styleId="Heading7">
    <w:name w:val="Heading 7"/>
    <w:basedOn w:val="Normal"/>
    <w:next w:val="Normal"/>
    <w:qFormat/>
    <w:pPr>
      <w:keepNext w:val="true"/>
      <w:spacing w:lineRule="exact" w:line="200"/>
      <w:jc w:val="center"/>
      <w:outlineLvl w:val="6"/>
    </w:pPr>
    <w:rPr>
      <w:rFonts w:ascii="Comic Sans MS" w:hAnsi="Comic Sans MS"/>
      <w:b/>
      <w:bCs/>
      <w:sz w:val="18"/>
    </w:rPr>
  </w:style>
  <w:style w:type="paragraph" w:styleId="Heading8">
    <w:name w:val="Heading 8"/>
    <w:basedOn w:val="Normal"/>
    <w:next w:val="Normal"/>
    <w:qFormat/>
    <w:pPr>
      <w:keepNext w:val="true"/>
      <w:spacing w:lineRule="exact" w:line="200"/>
      <w:outlineLvl w:val="7"/>
    </w:pPr>
    <w:rPr>
      <w:rFonts w:ascii="Comic Sans MS" w:hAnsi="Comic Sans MS"/>
      <w:b/>
      <w:bCs/>
      <w:sz w:val="18"/>
    </w:rPr>
  </w:style>
  <w:style w:type="paragraph" w:styleId="Heading9">
    <w:name w:val="Heading 9"/>
    <w:basedOn w:val="Normal"/>
    <w:next w:val="Normal"/>
    <w:qFormat/>
    <w:pPr>
      <w:keepNext w:val="true"/>
      <w:spacing w:lineRule="exact" w:line="220" w:before="40" w:after="40"/>
      <w:ind w:left="-108" w:right="-90" w:hanging="0"/>
      <w:jc w:val="center"/>
      <w:outlineLvl w:val="8"/>
    </w:pPr>
    <w:rPr>
      <w:b/>
      <w:sz w:val="18"/>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name w:val="Hyperlink"/>
    <w:uiPriority w:val="99"/>
    <w:rsid w:val="00fc34f6"/>
    <w:rPr>
      <w:color w:val="0000FF"/>
      <w:u w:val="single"/>
    </w:rPr>
  </w:style>
  <w:style w:type="character" w:styleId="BalloonTextChar" w:customStyle="1">
    <w:name w:val="Balloon Text Char"/>
    <w:link w:val="BalloonText"/>
    <w:qFormat/>
    <w:rsid w:val="00737455"/>
    <w:rPr>
      <w:rFonts w:ascii="Tahoma" w:hAnsi="Tahoma" w:cs="Tahoma"/>
      <w:sz w:val="16"/>
      <w:szCs w:val="16"/>
    </w:rPr>
  </w:style>
  <w:style w:type="character" w:styleId="VisitedInternetLink">
    <w:name w:val="FollowedHyperlink"/>
    <w:rsid w:val="00f07ac1"/>
    <w:rPr>
      <w:color w:val="800080"/>
      <w:u w:val="single"/>
    </w:rPr>
  </w:style>
  <w:style w:type="character" w:styleId="Annotationreference">
    <w:name w:val="annotation reference"/>
    <w:qFormat/>
    <w:rsid w:val="00473411"/>
    <w:rPr>
      <w:sz w:val="16"/>
      <w:szCs w:val="16"/>
    </w:rPr>
  </w:style>
  <w:style w:type="character" w:styleId="CommentTextChar" w:customStyle="1">
    <w:name w:val="Comment Text Char"/>
    <w:basedOn w:val="DefaultParagraphFont"/>
    <w:link w:val="CommentText"/>
    <w:qFormat/>
    <w:rsid w:val="00473411"/>
    <w:rPr/>
  </w:style>
  <w:style w:type="character" w:styleId="CommentSubjectChar" w:customStyle="1">
    <w:name w:val="Comment Subject Char"/>
    <w:link w:val="CommentSubject"/>
    <w:qFormat/>
    <w:rsid w:val="00473411"/>
    <w:rPr>
      <w:b/>
      <w:bCs/>
    </w:rPr>
  </w:style>
  <w:style w:type="character" w:styleId="FootnoteTextChar" w:customStyle="1">
    <w:name w:val="Footnote Text Char"/>
    <w:link w:val="FootnoteText"/>
    <w:qFormat/>
    <w:rsid w:val="00dd7d18"/>
    <w:rPr>
      <w:sz w:val="24"/>
    </w:rPr>
  </w:style>
  <w:style w:type="character" w:styleId="FootnoteCharacters">
    <w:name w:val="Footnote Characters"/>
    <w:qFormat/>
    <w:rsid w:val="00dd7d18"/>
    <w:rPr>
      <w:vertAlign w:val="superscript"/>
    </w:rPr>
  </w:style>
  <w:style w:type="character" w:styleId="FootnoteAnchor">
    <w:name w:val="Footnote Anchor"/>
    <w:rPr>
      <w:vertAlign w:val="superscript"/>
    </w:rPr>
  </w:style>
  <w:style w:type="character" w:styleId="FooterChar" w:customStyle="1">
    <w:name w:val="Footer Char"/>
    <w:basedOn w:val="DefaultParagraphFont"/>
    <w:link w:val="Footer"/>
    <w:uiPriority w:val="99"/>
    <w:qFormat/>
    <w:rsid w:val="00e870eb"/>
    <w:rPr/>
  </w:style>
  <w:style w:type="character" w:styleId="HeaderChar" w:customStyle="1">
    <w:name w:val="Header Char"/>
    <w:basedOn w:val="DefaultParagraphFont"/>
    <w:link w:val="Header"/>
    <w:uiPriority w:val="99"/>
    <w:qFormat/>
    <w:rsid w:val="004562e8"/>
    <w:rPr/>
  </w:style>
  <w:style w:type="character" w:styleId="EndnoteTextChar" w:customStyle="1">
    <w:name w:val="Endnote Text Char"/>
    <w:basedOn w:val="DefaultParagraphFont"/>
    <w:link w:val="EndnoteText"/>
    <w:qFormat/>
    <w:rsid w:val="00d62607"/>
    <w:rPr/>
  </w:style>
  <w:style w:type="character" w:styleId="EndnoteCharacters">
    <w:name w:val="Endnote Characters"/>
    <w:basedOn w:val="DefaultParagraphFont"/>
    <w:qFormat/>
    <w:rsid w:val="00d62607"/>
    <w:rPr>
      <w:vertAlign w:val="superscript"/>
    </w:rPr>
  </w:style>
  <w:style w:type="character" w:styleId="EndnoteAnchor">
    <w:name w:val="Endnote Anchor"/>
    <w:rPr>
      <w:vertAlign w:val="superscript"/>
    </w:rPr>
  </w:style>
  <w:style w:type="character" w:styleId="UnresolvedMention">
    <w:name w:val="Unresolved Mention"/>
    <w:basedOn w:val="DefaultParagraphFont"/>
    <w:uiPriority w:val="99"/>
    <w:semiHidden/>
    <w:unhideWhenUsed/>
    <w:qFormat/>
    <w:rsid w:val="005f7f5b"/>
    <w:rPr>
      <w:color w:val="605E5C"/>
      <w:shd w:fill="E1DFDD" w:val="clear"/>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qFormat/>
    <w:rsid w:val="0025569c"/>
    <w:rPr>
      <w:rFonts w:ascii="Footlight MT Light" w:hAnsi="Footlight MT Light"/>
      <w:sz w:val="22"/>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before="120" w:after="0"/>
      <w:jc w:val="both"/>
    </w:pPr>
    <w:rPr>
      <w:rFonts w:ascii="Footlight MT Light" w:hAnsi="Footlight MT Light"/>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pPr>
      <w:tabs>
        <w:tab w:val="clear" w:pos="720"/>
        <w:tab w:val="center" w:pos="4320" w:leader="none"/>
        <w:tab w:val="right" w:pos="8640" w:leader="none"/>
      </w:tabs>
    </w:pPr>
    <w:rPr/>
  </w:style>
  <w:style w:type="paragraph" w:styleId="Footer">
    <w:name w:val="Footer"/>
    <w:basedOn w:val="Normal"/>
    <w:link w:val="FooterChar"/>
    <w:uiPriority w:val="99"/>
    <w:pPr>
      <w:tabs>
        <w:tab w:val="clear" w:pos="720"/>
        <w:tab w:val="center" w:pos="4320" w:leader="none"/>
        <w:tab w:val="right" w:pos="8640" w:leader="none"/>
      </w:tabs>
    </w:pPr>
    <w:rPr/>
  </w:style>
  <w:style w:type="paragraph" w:styleId="Caption1">
    <w:name w:val="caption"/>
    <w:basedOn w:val="Normal"/>
    <w:next w:val="Normal"/>
    <w:qFormat/>
    <w:rsid w:val="00070c22"/>
    <w:pPr>
      <w:keepNext w:val="true"/>
      <w:spacing w:before="360" w:after="120"/>
    </w:pPr>
    <w:rPr>
      <w:rFonts w:ascii="Arial" w:hAnsi="Arial" w:cs="Arial"/>
      <w:b/>
      <w:sz w:val="24"/>
      <w:szCs w:val="24"/>
    </w:rPr>
  </w:style>
  <w:style w:type="paragraph" w:styleId="Title">
    <w:name w:val="Title"/>
    <w:basedOn w:val="Normal"/>
    <w:qFormat/>
    <w:pPr>
      <w:spacing w:before="0" w:after="120"/>
      <w:jc w:val="center"/>
    </w:pPr>
    <w:rPr>
      <w:b/>
      <w:u w:val="single"/>
    </w:rPr>
  </w:style>
  <w:style w:type="paragraph" w:styleId="BodyText2">
    <w:name w:val="Body Text 2"/>
    <w:basedOn w:val="Normal"/>
    <w:qFormat/>
    <w:pPr>
      <w:spacing w:before="0" w:after="120"/>
    </w:pPr>
    <w:rPr>
      <w:rFonts w:ascii="Footlight MT Light" w:hAnsi="Footlight MT Light"/>
      <w:sz w:val="22"/>
    </w:rPr>
  </w:style>
  <w:style w:type="paragraph" w:styleId="BodyText3">
    <w:name w:val="Body Text 3"/>
    <w:basedOn w:val="Normal"/>
    <w:qFormat/>
    <w:pPr>
      <w:pBdr>
        <w:top w:val="single" w:sz="4" w:space="1" w:color="000000"/>
        <w:left w:val="single" w:sz="4" w:space="4" w:color="000000"/>
        <w:bottom w:val="single" w:sz="4" w:space="1" w:color="000000"/>
        <w:right w:val="single" w:sz="4" w:space="4" w:color="000000"/>
      </w:pBdr>
      <w:jc w:val="both"/>
    </w:pPr>
    <w:rPr>
      <w:sz w:val="24"/>
    </w:rPr>
  </w:style>
  <w:style w:type="paragraph" w:styleId="Subtitle">
    <w:name w:val="Subtitle"/>
    <w:basedOn w:val="Normal"/>
    <w:qFormat/>
    <w:pPr>
      <w:keepLines/>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center"/>
    </w:pPr>
    <w:rPr>
      <w:b/>
      <w:i/>
      <w:color w:val="FF0000"/>
    </w:rPr>
  </w:style>
  <w:style w:type="paragraph" w:styleId="BodyTextIndent2">
    <w:name w:val="Body Text Indent 2"/>
    <w:basedOn w:val="Normal"/>
    <w:qFormat/>
    <w:pPr>
      <w:ind w:firstLine="720"/>
    </w:pPr>
    <w:rPr>
      <w:u w:val="single"/>
    </w:rPr>
  </w:style>
  <w:style w:type="paragraph" w:styleId="BodyTextIndent3">
    <w:name w:val="Body Text Indent 3"/>
    <w:basedOn w:val="Normal"/>
    <w:qFormat/>
    <w:pPr>
      <w:ind w:left="360" w:hanging="360"/>
    </w:pPr>
    <w:rPr>
      <w:u w:val="single"/>
    </w:rPr>
  </w:style>
  <w:style w:type="paragraph" w:styleId="BlockText">
    <w:name w:val="Block Text"/>
    <w:basedOn w:val="Normal"/>
    <w:qFormat/>
    <w:pPr>
      <w:ind w:left="810" w:right="1350" w:hanging="180"/>
    </w:pPr>
    <w:rPr>
      <w:rFonts w:ascii="Comic Sans MS" w:hAnsi="Comic Sans MS"/>
      <w:b/>
      <w:sz w:val="18"/>
    </w:rPr>
  </w:style>
  <w:style w:type="paragraph" w:styleId="BalloonText">
    <w:name w:val="Balloon Text"/>
    <w:basedOn w:val="Normal"/>
    <w:link w:val="BalloonTextChar"/>
    <w:qFormat/>
    <w:rsid w:val="00737455"/>
    <w:pPr/>
    <w:rPr>
      <w:rFonts w:ascii="Tahoma" w:hAnsi="Tahoma" w:cs="Tahoma"/>
      <w:sz w:val="16"/>
      <w:szCs w:val="16"/>
    </w:rPr>
  </w:style>
  <w:style w:type="paragraph" w:styleId="Annotationtext">
    <w:name w:val="annotation text"/>
    <w:basedOn w:val="Normal"/>
    <w:link w:val="CommentTextChar"/>
    <w:qFormat/>
    <w:rsid w:val="00473411"/>
    <w:pPr/>
    <w:rPr/>
  </w:style>
  <w:style w:type="paragraph" w:styleId="Annotationsubject">
    <w:name w:val="annotation subject"/>
    <w:basedOn w:val="Annotationtext"/>
    <w:next w:val="Annotationtext"/>
    <w:link w:val="CommentSubjectChar"/>
    <w:qFormat/>
    <w:rsid w:val="00473411"/>
    <w:pPr/>
    <w:rPr>
      <w:b/>
      <w:bCs/>
    </w:rPr>
  </w:style>
  <w:style w:type="paragraph" w:styleId="Footnote">
    <w:name w:val="Footnote Text"/>
    <w:basedOn w:val="Normal"/>
    <w:link w:val="FootnoteTextChar"/>
    <w:rsid w:val="00dd7d18"/>
    <w:pPr>
      <w:spacing w:before="0" w:after="240"/>
      <w:jc w:val="both"/>
    </w:pPr>
    <w:rPr>
      <w:sz w:val="24"/>
    </w:rPr>
  </w:style>
  <w:style w:type="paragraph" w:styleId="ListParagraph">
    <w:name w:val="List Paragraph"/>
    <w:basedOn w:val="Normal"/>
    <w:uiPriority w:val="34"/>
    <w:qFormat/>
    <w:rsid w:val="00e870eb"/>
    <w:pPr>
      <w:numPr>
        <w:ilvl w:val="0"/>
        <w:numId w:val="1"/>
      </w:numPr>
      <w:spacing w:before="0" w:after="120"/>
    </w:pPr>
    <w:rPr>
      <w:rFonts w:ascii="Arial" w:hAnsi="Arial" w:cs="Arial"/>
      <w:bCs/>
      <w:sz w:val="24"/>
      <w:szCs w:val="24"/>
    </w:rPr>
  </w:style>
  <w:style w:type="paragraph" w:styleId="Endnote">
    <w:name w:val="Endnote Text"/>
    <w:basedOn w:val="Normal"/>
    <w:link w:val="EndnoteTextChar"/>
    <w:rsid w:val="00d62607"/>
    <w:pPr/>
    <w:rPr/>
  </w:style>
  <w:style w:type="paragraph" w:styleId="TOCHeading">
    <w:name w:val="TOC Heading"/>
    <w:basedOn w:val="Heading1"/>
    <w:next w:val="Normal"/>
    <w:uiPriority w:val="39"/>
    <w:unhideWhenUsed/>
    <w:qFormat/>
    <w:rsid w:val="007b2bc6"/>
    <w:pPr>
      <w:keepLines/>
      <w:spacing w:lineRule="auto" w:line="259" w:before="240" w:after="0"/>
    </w:pPr>
    <w:rPr>
      <w:rFonts w:ascii="Calibri Light" w:hAnsi="Calibri Light" w:eastAsia="等线 Light" w:cs="Times New Roman" w:asciiTheme="majorHAnsi" w:cstheme="majorBidi" w:eastAsiaTheme="majorEastAsia" w:hAnsiTheme="majorHAnsi"/>
      <w:b w:val="false"/>
      <w:bCs w:val="false"/>
      <w:color w:val="2F5496" w:themeColor="accent1" w:themeShade="bf"/>
    </w:rPr>
  </w:style>
  <w:style w:type="paragraph" w:styleId="Contents1">
    <w:name w:val="TOC 1"/>
    <w:basedOn w:val="Normal"/>
    <w:next w:val="Normal"/>
    <w:autoRedefine/>
    <w:uiPriority w:val="39"/>
    <w:rsid w:val="007b2bc6"/>
    <w:pPr>
      <w:spacing w:before="0" w:after="100"/>
    </w:pPr>
    <w:rPr/>
  </w:style>
  <w:style w:type="paragraph" w:styleId="Contents2">
    <w:name w:val="TOC 2"/>
    <w:basedOn w:val="Normal"/>
    <w:next w:val="Normal"/>
    <w:autoRedefine/>
    <w:uiPriority w:val="39"/>
    <w:rsid w:val="007b2bc6"/>
    <w:pPr>
      <w:spacing w:before="0" w:after="100"/>
      <w:ind w:left="200" w:hanging="0"/>
    </w:pPr>
    <w:rPr/>
  </w:style>
  <w:style w:type="paragraph" w:styleId="Contents3">
    <w:name w:val="TOC 3"/>
    <w:basedOn w:val="Normal"/>
    <w:next w:val="Normal"/>
    <w:autoRedefine/>
    <w:uiPriority w:val="39"/>
    <w:rsid w:val="007b2bc6"/>
    <w:pPr>
      <w:spacing w:before="0" w:after="100"/>
      <w:ind w:left="400" w:hanging="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pa.gov/lead"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LibreOffice/7.1.8.1$Windows_X86_64 LibreOffice_project/e1f30c802c3269a1d052614453f260e49458c82c</Application>
  <AppVersion>15.0000</AppVersion>
  <Pages>8</Pages>
  <Words>2526</Words>
  <Characters>13795</Characters>
  <CharactersWithSpaces>16051</CharactersWithSpaces>
  <Paragraphs>293</Paragraphs>
  <Company>SWRCB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2022-01-19T19:02:00Z</dcterms:created>
  <dc:creator>SWB - Regulatory Development Unit</dc:creator>
  <dc:description/>
  <cp:keywords>Consumer Consumer Consumer Confidence Report Small Water System Template</cp:keywords>
  <dc:language>en-US</dc:language>
  <cp:lastModifiedBy/>
  <cp:lastPrinted>2022-01-19T18:53:00Z</cp:lastPrinted>
  <dcterms:modified xsi:type="dcterms:W3CDTF">2023-06-29T21:11:40Z</dcterms:modified>
  <cp:revision>7</cp:revision>
  <dc:subject>CCR</dc:subject>
  <dc:title>CCR SWS Template - English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