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center"/>
        <w:rPr/>
      </w:pPr>
      <w:bookmarkStart w:id="0" w:name="_Toc58336712"/>
      <w:r>
        <w:rPr/>
        <w:t>2022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Water System Name: Kelly Mutual Water Company</w:t>
      </w:r>
    </w:p>
    <w:p>
      <w:pPr>
        <w:pStyle w:val="Normal"/>
        <w:spacing w:before="0" w:after="240"/>
        <w:rPr>
          <w:rFonts w:ascii="Arial" w:hAnsi="Arial" w:cs="Arial"/>
          <w:sz w:val="24"/>
          <w:szCs w:val="24"/>
        </w:rPr>
      </w:pPr>
      <w:r>
        <w:rPr>
          <w:rFonts w:cs="Arial" w:ascii="Arial" w:hAnsi="Arial"/>
          <w:sz w:val="24"/>
          <w:szCs w:val="24"/>
        </w:rPr>
        <w:t>Report Date: 6/29/22</w:t>
      </w:r>
    </w:p>
    <w:p>
      <w:pPr>
        <w:pStyle w:val="Normal"/>
        <w:spacing w:before="0" w:after="240"/>
        <w:rPr>
          <w:rFonts w:ascii="Arial" w:hAnsi="Arial" w:cs="Arial"/>
          <w:sz w:val="24"/>
          <w:szCs w:val="24"/>
        </w:rPr>
      </w:pPr>
      <w:r>
        <w:rPr>
          <w:rFonts w:cs="Arial" w:ascii="Arial" w:hAnsi="Arial"/>
          <w:sz w:val="24"/>
          <w:szCs w:val="24"/>
        </w:rPr>
        <w:t>Type of Water Source(s) in Use: groundwater</w:t>
      </w:r>
    </w:p>
    <w:p>
      <w:pPr>
        <w:pStyle w:val="Normal"/>
        <w:spacing w:before="0" w:after="240"/>
        <w:rPr>
          <w:rFonts w:ascii="Arial" w:hAnsi="Arial" w:cs="Arial"/>
          <w:sz w:val="24"/>
          <w:szCs w:val="24"/>
        </w:rPr>
      </w:pPr>
      <w:r>
        <w:rPr>
          <w:rFonts w:cs="Arial" w:ascii="Arial" w:hAnsi="Arial"/>
          <w:sz w:val="24"/>
          <w:szCs w:val="24"/>
        </w:rPr>
        <w:t>Name and General Location of Source(s): Kelly subdivision Well 01, well 02</w:t>
      </w:r>
    </w:p>
    <w:p>
      <w:pPr>
        <w:pStyle w:val="Normal"/>
        <w:spacing w:before="0" w:after="240"/>
        <w:rPr>
          <w:rFonts w:ascii="Arial" w:hAnsi="Arial" w:cs="Arial"/>
          <w:sz w:val="24"/>
          <w:szCs w:val="24"/>
        </w:rPr>
      </w:pPr>
      <w:r>
        <w:rPr>
          <w:rFonts w:cs="Arial" w:ascii="Arial" w:hAnsi="Arial"/>
          <w:sz w:val="24"/>
          <w:szCs w:val="24"/>
        </w:rPr>
        <w:t xml:space="preserve">Drinking Water Source Assessment Information: </w:t>
      </w:r>
      <w:r>
        <w:rPr>
          <w:rFonts w:cs="sans-serif;Arial" w:ascii="sans-serif;Arial" w:hAnsi="sans-serif;Arial"/>
          <w:sz w:val="27"/>
          <w:szCs w:val="24"/>
        </w:rPr>
        <w:t>Conducted January 2002 by Calif Dept of Health Services,reviewed Aug 2022 by Bernie Hovden The source is considered most vulnerable to the following activities not associated with any detected contaminants:</w:t>
      </w:r>
      <w:r>
        <w:rPr>
          <w:rFonts w:cs="serif" w:ascii="serif" w:hAnsi="serif"/>
          <w:sz w:val="27"/>
          <w:szCs w:val="24"/>
        </w:rPr>
        <w:t>Junk/scrap/salvage yards Lumber processing and manufacturing Machine shops Sewer collection systems</w:t>
      </w:r>
      <w:r>
        <w:rPr>
          <w:rFonts w:cs="Arial" w:ascii="Arial" w:hAnsi="Arial"/>
          <w:sz w:val="24"/>
          <w:szCs w:val="24"/>
        </w:rPr>
        <w:t xml:space="preserve"> </w:t>
      </w:r>
      <w:r>
        <w:rPr>
          <w:rFonts w:cs="serif" w:ascii="serif" w:hAnsi="serif"/>
          <w:sz w:val="27"/>
          <w:szCs w:val="24"/>
        </w:rPr>
        <w:t>There have been no contaminants detected in the water supply, however the source is still considered vulnerable to activities located near the drinking water source.</w:t>
      </w:r>
      <w:r>
        <w:rPr>
          <w:rFonts w:cs="Arial" w:ascii="Arial" w:hAnsi="Arial"/>
          <w:sz w:val="24"/>
          <w:szCs w:val="24"/>
        </w:rPr>
        <w:t xml:space="preserve"> </w:t>
      </w:r>
    </w:p>
    <w:p>
      <w:pPr>
        <w:pStyle w:val="Normal"/>
        <w:spacing w:before="0" w:after="240"/>
        <w:rPr>
          <w:rFonts w:ascii="Arial" w:hAnsi="Arial" w:cs="Arial"/>
          <w:sz w:val="24"/>
          <w:szCs w:val="24"/>
        </w:rPr>
      </w:pPr>
      <w:r>
        <w:rPr>
          <w:rFonts w:cs="Arial" w:ascii="Arial" w:hAnsi="Arial"/>
          <w:sz w:val="24"/>
          <w:szCs w:val="24"/>
        </w:rPr>
        <w:t xml:space="preserve">Time and Place of Regularly Scheduled Board Meetings for Public Participation: </w:t>
      </w:r>
      <w:r>
        <w:rPr>
          <w:rFonts w:cs="serif" w:ascii="serif" w:hAnsi="serif"/>
          <w:sz w:val="27"/>
          <w:szCs w:val="24"/>
          <w:lang w:val="es-ES"/>
        </w:rPr>
        <w:t>Jan, Apr, July, Oct in the neighborhood. Contact a board member for details. Meeting notice with agenda posted at entrance to neighborhood prior to meeting</w:t>
      </w:r>
      <w:r>
        <w:rPr>
          <w:rFonts w:cs="Arial" w:ascii="Arial" w:hAnsi="Arial"/>
          <w:sz w:val="24"/>
          <w:szCs w:val="24"/>
          <w:lang w:val="es-ES"/>
        </w:rPr>
        <w:t xml:space="preserve"> </w:t>
      </w:r>
    </w:p>
    <w:p>
      <w:pPr>
        <w:pStyle w:val="Normal"/>
        <w:rPr>
          <w:rFonts w:ascii="Arial" w:hAnsi="Arial" w:cs="Arial"/>
          <w:sz w:val="24"/>
          <w:szCs w:val="24"/>
        </w:rPr>
      </w:pPr>
      <w:r>
        <w:rPr>
          <w:rFonts w:cs="Arial" w:ascii="Arial" w:hAnsi="Arial"/>
          <w:sz w:val="24"/>
          <w:szCs w:val="24"/>
        </w:rPr>
        <w:t>For More Information, Contact: Bernie Hovden 707-829-3824</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2022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xml:space="preserve">:  Este informe contiene información muy importante sobre su agua para beber.  Favor de comunicarse </w:t>
      </w:r>
      <w:r>
        <w:rPr>
          <w:rFonts w:cs="Arial" w:ascii="Arial" w:hAnsi="Arial"/>
          <w:sz w:val="24"/>
          <w:szCs w:val="24"/>
          <w:lang w:val="en-US"/>
        </w:rPr>
        <w:t>Kelly Mutual Water Company</w:t>
      </w:r>
      <w:r>
        <w:rPr>
          <w:rFonts w:cs="Arial" w:ascii="Arial" w:hAnsi="Arial"/>
          <w:sz w:val="24"/>
          <w:szCs w:val="24"/>
          <w:lang w:val="es-MX"/>
        </w:rPr>
        <w:t xml:space="preserve"> a [</w:t>
      </w:r>
      <w:r>
        <w:rPr>
          <w:rFonts w:cs="Arial" w:ascii="Arial" w:hAnsi="Arial"/>
          <w:sz w:val="24"/>
          <w:szCs w:val="24"/>
          <w:lang w:val="en-US"/>
        </w:rPr>
        <w:t xml:space="preserve">1430 Industrial Ave Sebastopol 707-829-3824 </w:t>
      </w:r>
      <w:r>
        <w:rPr>
          <w:rFonts w:cs="Arial" w:ascii="Arial" w:hAnsi="Arial"/>
          <w:sz w:val="24"/>
          <w:szCs w:val="24"/>
          <w:lang w:val="es-MX"/>
        </w:rPr>
        <w:t>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rPr>
        <w:t>[Enter Water System Name]</w:t>
      </w:r>
      <w:r>
        <w:rPr>
          <w:rFonts w:ascii="SimSun" w:hAnsi="SimSun" w:cs="Arial"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[Enter Water System’s Address][Enter Water System’s Phone Number].</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[Enter Water System’s Name and Address] o </w:t>
      </w:r>
      <w:r>
        <w:rPr>
          <w:rFonts w:cs="Arial" w:ascii="Arial" w:hAnsi="Arial"/>
          <w:sz w:val="24"/>
          <w:szCs w:val="24"/>
          <w:lang w:val="fil-PH"/>
        </w:rPr>
        <w:t>tumawag sa</w:t>
      </w:r>
      <w:r>
        <w:rPr>
          <w:rFonts w:cs="Arial" w:ascii="Arial" w:hAnsi="Arial"/>
          <w:sz w:val="24"/>
          <w:szCs w:val="24"/>
        </w:rPr>
        <w:t xml:space="preserve"> [Enter Water System’s Phone Number]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xml:space="preserve">:  Báo cáo này chứa thông tin quan trọng về nước uống của bạn.  Xin vui lòng liên hệ </w:t>
      </w:r>
      <w:r>
        <w:rPr>
          <w:rFonts w:cs="Arial" w:ascii="Arial" w:hAnsi="Arial"/>
          <w:sz w:val="24"/>
          <w:szCs w:val="24"/>
        </w:rPr>
        <w:t>[Enter</w:t>
      </w:r>
      <w:r>
        <w:rPr>
          <w:rFonts w:eastAsia="PMingLiU" w:cs="Arial" w:ascii="Arial" w:hAnsi="Arial"/>
          <w:sz w:val="24"/>
          <w:szCs w:val="24"/>
        </w:rPr>
        <w:t xml:space="preserve"> Water System’s Name</w:t>
      </w:r>
      <w:r>
        <w:rPr>
          <w:rFonts w:cs="Arial" w:ascii="Arial" w:hAnsi="Arial"/>
          <w:sz w:val="24"/>
          <w:szCs w:val="24"/>
        </w:rPr>
        <w:t xml:space="preserve">] </w:t>
      </w:r>
      <w:r>
        <w:rPr>
          <w:rFonts w:cs="Arial" w:ascii="Arial" w:hAnsi="Arial"/>
          <w:sz w:val="24"/>
          <w:szCs w:val="24"/>
          <w:lang w:val="vi-VN"/>
        </w:rPr>
        <w:t>tại</w:t>
      </w:r>
      <w:r>
        <w:rPr>
          <w:rFonts w:cs="Arial" w:ascii="Arial" w:hAnsi="Arial"/>
          <w:sz w:val="24"/>
          <w:szCs w:val="24"/>
        </w:rPr>
        <w:t xml:space="preserve"> [Enter Water System’s Address or Phone Number]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[Enter</w:t>
      </w:r>
      <w:r>
        <w:rPr>
          <w:rFonts w:eastAsia="PMingLiU" w:cs="Arial" w:ascii="Arial" w:hAnsi="Arial"/>
          <w:sz w:val="24"/>
          <w:szCs w:val="24"/>
        </w:rPr>
        <w:t xml:space="preserve"> Water System’s Name</w:t>
      </w:r>
      <w:r>
        <w:rPr>
          <w:rFonts w:cs="Arial" w:ascii="Arial" w:hAnsi="Arial"/>
          <w:sz w:val="24"/>
          <w:szCs w:val="24"/>
        </w:rPr>
        <w:t>] ntawm [Enter Water System’s Address or Phone Number ] rau kev pab hauv lus Askiv.</w:t>
      </w:r>
    </w:p>
    <w:p>
      <w:pPr>
        <w:pStyle w:val="Heading2"/>
        <w:spacing w:before="0" w:after="40"/>
        <w:rPr/>
      </w:pPr>
      <w:bookmarkStart w:id="3" w:name="_Toc58336715"/>
      <w:r>
        <w:rPr/>
        <w:t>Terms Used in This Report</w:t>
      </w:r>
      <w:bookmarkEnd w:id="3"/>
    </w:p>
    <w:tbl>
      <w:tblPr>
        <w:tblStyle w:val="TableGrid"/>
        <w:tblW w:w="10790" w:type="dxa"/>
        <w:jc w:val="left"/>
        <w:tblInd w:w="0"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Toc58336718"/>
      <w:r>
        <w:rPr>
          <w:color w:val="auto"/>
        </w:rPr>
        <w:t>Drinking Water Contaminants Detected</w:t>
      </w:r>
      <w:bookmarkEnd w:id="6"/>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Start w:id="7" w:name="_Hlk57994699"/>
      <w:bookmarkEnd w:id="7"/>
    </w:p>
    <w:p>
      <w:pPr>
        <w:pStyle w:val="Caption1"/>
        <w:rPr/>
      </w:pPr>
      <w:r>
        <w:rPr/>
        <w:t xml:space="preserve">Table </w:t>
      </w:r>
      <w:r>
        <w:rPr/>
        <w:fldChar w:fldCharType="begin"/>
      </w:r>
      <w:r>
        <w:rPr/>
        <w:instrText>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2611"/>
        <w:gridCol w:w="990"/>
        <w:gridCol w:w="2070"/>
      </w:tblGrid>
      <w:tr>
        <w:trPr>
          <w:tblHeader w:val="true"/>
          <w:trHeight w:val="611" w:hRule="atLeast"/>
          <w:cantSplit w:val="true"/>
        </w:trPr>
        <w:tc>
          <w:tcPr>
            <w:tcW w:w="2065"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No. of Months in Violation</w:t>
            </w:r>
          </w:p>
        </w:tc>
        <w:tc>
          <w:tcPr>
            <w:tcW w:w="2611"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w:t>
            </w:r>
          </w:p>
        </w:tc>
        <w:tc>
          <w:tcPr>
            <w:tcW w:w="990"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MCLG</w:t>
            </w:r>
          </w:p>
        </w:tc>
        <w:tc>
          <w:tcPr>
            <w:tcW w:w="2070"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o</w:t>
            </w:r>
          </w:p>
        </w:tc>
        <w:tc>
          <w:tcPr>
            <w:tcW w:w="261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99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0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fldChar w:fldCharType="begin"/>
      </w:r>
      <w:r>
        <w:rPr/>
        <w:instrText> SEQ Table \* ARABIC </w:instrText>
      </w:r>
      <w:r>
        <w:rPr/>
        <w:fldChar w:fldCharType="separate"/>
      </w:r>
      <w:r>
        <w:rPr/>
        <w:t>2</w:t>
      </w:r>
      <w:r>
        <w:rP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18" w:type="dxa"/>
        <w:jc w:val="left"/>
        <w:tblInd w:w="0" w:type="dxa"/>
        <w:tblLayout w:type="fixed"/>
        <w:tblCellMar>
          <w:top w:w="0" w:type="dxa"/>
          <w:left w:w="86" w:type="dxa"/>
          <w:bottom w:w="0" w:type="dxa"/>
          <w:right w:w="86" w:type="dxa"/>
        </w:tblCellMar>
        <w:tblLook w:firstRow="1" w:noVBand="0" w:lastRow="0" w:firstColumn="1" w:lastColumn="0" w:noHBand="0" w:val="00a0"/>
      </w:tblPr>
      <w:tblGrid>
        <w:gridCol w:w="1117"/>
        <w:gridCol w:w="1635"/>
        <w:gridCol w:w="1021"/>
        <w:gridCol w:w="1124"/>
        <w:gridCol w:w="1021"/>
        <w:gridCol w:w="610"/>
        <w:gridCol w:w="610"/>
        <w:gridCol w:w="3678"/>
      </w:tblGrid>
      <w:tr>
        <w:trPr>
          <w:tblHeader w:val="true"/>
          <w:trHeight w:val="1708" w:hRule="atLeast"/>
          <w:cantSplit w:val="true"/>
        </w:trPr>
        <w:tc>
          <w:tcPr>
            <w:tcW w:w="1117"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Lead and Copper </w:t>
            </w:r>
          </w:p>
        </w:tc>
        <w:tc>
          <w:tcPr>
            <w:tcW w:w="1635"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Sample Date</w:t>
            </w:r>
          </w:p>
        </w:tc>
        <w:tc>
          <w:tcPr>
            <w:tcW w:w="1021"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of Samples Collected</w:t>
            </w:r>
          </w:p>
        </w:tc>
        <w:tc>
          <w:tcPr>
            <w:tcW w:w="1124"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1021"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Sites Exceeding AL</w:t>
            </w:r>
          </w:p>
        </w:tc>
        <w:tc>
          <w:tcPr>
            <w:tcW w:w="610"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AL</w:t>
            </w:r>
          </w:p>
        </w:tc>
        <w:tc>
          <w:tcPr>
            <w:tcW w:w="610"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PHG</w:t>
            </w:r>
          </w:p>
        </w:tc>
        <w:tc>
          <w:tcPr>
            <w:tcW w:w="3678" w:type="dxa"/>
            <w:tcBorders/>
            <w:tcMar>
              <w:left w:w="108" w:type="dxa"/>
              <w:right w:w="108" w:type="dxa"/>
            </w:tcMar>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w:t>
            </w:r>
          </w:p>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&lt; 5.0 mg/l</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water plumbing systems; discharges from industrial manufacturers; erosion of natural deposits</w:t>
            </w:r>
          </w:p>
        </w:tc>
      </w:tr>
      <w:tr>
        <w:trPr>
          <w:trHeight w:val="1342" w:hRule="atLeast"/>
        </w:trPr>
        <w:tc>
          <w:tcPr>
            <w:tcW w:w="111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1635"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124"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440 ug/l</w:t>
            </w:r>
          </w:p>
        </w:tc>
        <w:tc>
          <w:tcPr>
            <w:tcW w:w="10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61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678"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fldChar w:fldCharType="begin"/>
      </w:r>
      <w:r>
        <w:rPr/>
        <w:instrText> SEQ Table \* ARABIC </w:instrText>
      </w:r>
      <w:r>
        <w:rPr/>
        <w:fldChar w:fldCharType="separate"/>
      </w:r>
      <w:r>
        <w:rPr/>
        <w:t>3</w:t>
      </w:r>
      <w:r>
        <w:rPr/>
        <w:fldChar w:fldCharType="end"/>
      </w:r>
      <w:r>
        <w:rPr/>
        <w:t>.  Sampling Results for Sodium and Hardness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9"/>
        <w:gridCol w:w="1346"/>
        <w:gridCol w:w="1259"/>
        <w:gridCol w:w="1530"/>
        <w:gridCol w:w="812"/>
        <w:gridCol w:w="1079"/>
        <w:gridCol w:w="2560"/>
      </w:tblGrid>
      <w:tr>
        <w:trPr/>
        <w:tc>
          <w:tcPr>
            <w:tcW w:w="224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346"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812"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w:t>
            </w:r>
          </w:p>
        </w:tc>
        <w:tc>
          <w:tcPr>
            <w:tcW w:w="107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256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9"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Sodium (ppm)</w:t>
            </w:r>
          </w:p>
        </w:tc>
        <w:tc>
          <w:tcPr>
            <w:tcW w:w="1346"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w:t>
            </w:r>
          </w:p>
        </w:tc>
        <w:tc>
          <w:tcPr>
            <w:tcW w:w="81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Salt present in the water and is generally naturally occurring</w:t>
            </w:r>
          </w:p>
        </w:tc>
      </w:tr>
      <w:tr>
        <w:trPr/>
        <w:tc>
          <w:tcPr>
            <w:tcW w:w="2249"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Hardness (ppm)</w:t>
            </w:r>
          </w:p>
        </w:tc>
        <w:tc>
          <w:tcPr>
            <w:tcW w:w="1346"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6/20/22 </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64 No.]</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64</w:t>
            </w:r>
          </w:p>
        </w:tc>
        <w:tc>
          <w:tcPr>
            <w:tcW w:w="81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Sum of polyvalent cations present in the water, generally magnesium and calcium, and are usually naturally occurring</w:t>
            </w:r>
          </w:p>
        </w:tc>
      </w:tr>
    </w:tbl>
    <w:p>
      <w:pPr>
        <w:pStyle w:val="Caption1"/>
        <w:rPr/>
      </w:pPr>
      <w:r>
        <w:rPr/>
        <w:t xml:space="preserve">Table </w:t>
      </w:r>
      <w:r>
        <w:rPr/>
        <w:fldChar w:fldCharType="begin"/>
      </w:r>
      <w:r>
        <w:rPr/>
        <w:instrText> SEQ Table \* ARABIC </w:instrText>
      </w:r>
      <w:r>
        <w:rPr/>
        <w:fldChar w:fldCharType="separate"/>
      </w:r>
      <w:r>
        <w:rPr/>
        <w:t>4</w:t>
      </w:r>
      <w:r>
        <w:rPr/>
        <w:fldChar w:fldCharType="end"/>
      </w:r>
      <w:r>
        <w:rPr/>
        <w:t>.  Detection of Contaminants with a Primary Drinking Water Standard</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259"/>
        <w:gridCol w:w="1530"/>
        <w:gridCol w:w="1170"/>
        <w:gridCol w:w="1262"/>
        <w:gridCol w:w="1929"/>
      </w:tblGrid>
      <w:tr>
        <w:trPr>
          <w:trHeight w:val="1511" w:hRule="atLeast"/>
          <w:cantSplit w:val="true"/>
        </w:trPr>
        <w:tc>
          <w:tcPr>
            <w:tcW w:w="2245"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tcMar>
              <w:left w:w="72" w:type="dxa"/>
              <w:right w:w="72" w:type="dxa"/>
            </w:tcMar>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262"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1929"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left w:w="58" w:type="dxa"/>
              <w:right w:w="58" w:type="dxa"/>
            </w:tcMar>
          </w:tcPr>
          <w:p>
            <w:pPr>
              <w:pStyle w:val="Normal"/>
              <w:keepNext w:val="true"/>
              <w:keepLines/>
              <w:widowControl w:val="false"/>
              <w:suppressAutoHyphens w:val="true"/>
              <w:spacing w:before="40" w:after="40"/>
              <w:ind w:left="30" w:hanging="0"/>
              <w:jc w:val="both"/>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Arsenic (ppb)</w:t>
            </w:r>
          </w:p>
        </w:tc>
        <w:tc>
          <w:tcPr>
            <w:tcW w:w="144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6.8</w:t>
            </w:r>
          </w:p>
        </w:tc>
        <w:tc>
          <w:tcPr>
            <w:tcW w:w="153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6.8</w:t>
            </w:r>
          </w:p>
        </w:tc>
        <w:tc>
          <w:tcPr>
            <w:tcW w:w="1170" w:type="dxa"/>
            <w:tcBorders/>
          </w:tcPr>
          <w:p>
            <w:pPr>
              <w:pStyle w:val="Normal"/>
              <w:keepNext w:val="true"/>
              <w:keepLines/>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10</w:t>
            </w:r>
          </w:p>
        </w:tc>
        <w:tc>
          <w:tcPr>
            <w:tcW w:w="1262" w:type="dxa"/>
            <w:tcBorders/>
          </w:tcPr>
          <w:p>
            <w:pPr>
              <w:pStyle w:val="Normal"/>
              <w:keepNext w:val="true"/>
              <w:keepLines/>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2.0</w:t>
            </w:r>
          </w:p>
        </w:tc>
        <w:tc>
          <w:tcPr>
            <w:tcW w:w="1929" w:type="dxa"/>
            <w:tcBorders/>
          </w:tcPr>
          <w:p>
            <w:pPr>
              <w:pStyle w:val="Normal"/>
              <w:keepNext w:val="true"/>
              <w:keepLines/>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Erosion of natural deposits;</w:t>
            </w:r>
          </w:p>
          <w:p>
            <w:pPr>
              <w:pStyle w:val="Normal"/>
              <w:keepNext w:val="true"/>
              <w:keepLines/>
              <w:widowControl w:val="false"/>
              <w:suppressAutoHyphens w:val="true"/>
              <w:spacing w:before="40" w:after="40"/>
              <w:jc w:val="left"/>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runoff from orchards; glass and electronics production wastes</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Fluoride (ppm)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0.30 </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0.30 </w:t>
            </w:r>
          </w:p>
        </w:tc>
        <w:tc>
          <w:tcPr>
            <w:tcW w:w="1170"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2.0</w:t>
            </w:r>
          </w:p>
        </w:tc>
        <w:tc>
          <w:tcPr>
            <w:tcW w:w="1262"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0.1</w:t>
            </w:r>
          </w:p>
        </w:tc>
        <w:tc>
          <w:tcPr>
            <w:tcW w:w="1929" w:type="dxa"/>
            <w:tcBorders/>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Erosion of natural deposits;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water additive which</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promotes strong teeth;</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discharge from fertilizer and</w:t>
            </w:r>
          </w:p>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aluminum factories</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Turbidity (NTU)</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ind w:right="0" w:hanging="0"/>
              <w:jc w:val="both"/>
              <w:rPr>
                <w:rFonts w:ascii="Arial" w:hAnsi="Arial" w:eastAsia="Times New Roman" w:cs="Arial"/>
                <w:color w:val="000000"/>
                <w:kern w:val="0"/>
                <w:sz w:val="24"/>
                <w:szCs w:val="24"/>
                <w:lang w:val="en-US" w:eastAsia="en-US" w:bidi="ar-SA"/>
              </w:rPr>
            </w:pPr>
            <w:r>
              <w:rPr>
                <w:rFonts w:eastAsia="Times New Roman" w:cs="Arial" w:ascii="Arial" w:hAnsi="Arial"/>
                <w:color w:val="000000"/>
                <w:kern w:val="0"/>
                <w:sz w:val="24"/>
                <w:szCs w:val="24"/>
                <w:lang w:val="en-US" w:eastAsia="en-US" w:bidi="ar-SA"/>
              </w:rPr>
              <w:t>3.7</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3.7</w:t>
            </w:r>
          </w:p>
        </w:tc>
        <w:tc>
          <w:tcPr>
            <w:tcW w:w="1170"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5.0</w:t>
            </w:r>
          </w:p>
        </w:tc>
        <w:tc>
          <w:tcPr>
            <w:tcW w:w="1262" w:type="dxa"/>
            <w:tcBorders/>
          </w:tcPr>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Arial" w:ascii="Arial" w:hAnsi="Arial"/>
                <w:color w:val="000000" w:themeColor="text1"/>
                <w:kern w:val="0"/>
                <w:sz w:val="24"/>
                <w:szCs w:val="24"/>
                <w:lang w:val="en-US" w:eastAsia="en-US" w:bidi="ar-SA"/>
              </w:rPr>
              <w:t>0.1</w:t>
            </w:r>
          </w:p>
        </w:tc>
        <w:tc>
          <w:tcPr>
            <w:tcW w:w="1929" w:type="dxa"/>
            <w:tcBorders/>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Turbidity has no health effects.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However, high levels of turbidity</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can interfere with disinfection</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and provide a medium for</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microbial growth. Turbidity</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may indicate the presence of</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disease-causing organisms.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These organisms include</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bacteria, viruses, and parasites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that can cause symptoms such as</w:t>
            </w:r>
          </w:p>
          <w:p>
            <w:pPr>
              <w:pStyle w:val="Normal"/>
              <w:widowControl w:val="false"/>
              <w:suppressAutoHyphens w:val="true"/>
              <w:jc w:val="left"/>
              <w:rPr>
                <w:rFonts w:ascii="TimesNewRomanPSMT" w:hAnsi="TimesNewRomanPSMT" w:cs="TimesNewRomanPSMT"/>
                <w:sz w:val="24"/>
                <w:szCs w:val="24"/>
              </w:rPr>
            </w:pPr>
            <w:r>
              <w:rPr>
                <w:rFonts w:cs="TimesNewRomanPSMT" w:ascii="TimesNewRomanPSMT" w:hAnsi="TimesNewRomanPSMT"/>
                <w:sz w:val="24"/>
                <w:szCs w:val="24"/>
              </w:rPr>
              <w:t>nausea, cramps, diarrhea, and</w:t>
            </w:r>
          </w:p>
          <w:p>
            <w:pPr>
              <w:pStyle w:val="Normal"/>
              <w:widowControl w:val="false"/>
              <w:suppressAutoHyphens w:val="true"/>
              <w:spacing w:before="40" w:after="40"/>
              <w:jc w:val="center"/>
              <w:rPr>
                <w:rFonts w:ascii="Arial" w:hAnsi="Arial" w:cs="Arial"/>
                <w:color w:val="000000" w:themeColor="text1"/>
                <w:sz w:val="24"/>
                <w:szCs w:val="24"/>
              </w:rPr>
            </w:pPr>
            <w:r>
              <w:rPr>
                <w:rFonts w:eastAsia="Times New Roman" w:cs="TimesNewRomanPSMT" w:ascii="TimesNewRomanPSMT" w:hAnsi="TimesNewRomanPSMT"/>
                <w:color w:val="000000" w:themeColor="text1"/>
                <w:kern w:val="0"/>
                <w:sz w:val="24"/>
                <w:szCs w:val="24"/>
                <w:lang w:val="en-US" w:eastAsia="en-US" w:bidi="ar-SA"/>
              </w:rPr>
              <w:t>associated headaches.</w:t>
            </w:r>
          </w:p>
        </w:tc>
      </w:tr>
      <w:tr>
        <w:trPr>
          <w:trHeight w:val="432" w:hRule="atLeast"/>
        </w:trPr>
        <w:tc>
          <w:tcPr>
            <w:tcW w:w="2245" w:type="dxa"/>
            <w:tcBorders>
              <w:top w:val="nil"/>
            </w:tcBorders>
            <w:tcMar>
              <w:left w:w="58" w:type="dxa"/>
              <w:right w:w="58" w:type="dxa"/>
            </w:tcMar>
          </w:tcPr>
          <w:p>
            <w:pPr>
              <w:pStyle w:val="Normal"/>
              <w:widowControl w:val="false"/>
              <w:suppressAutoHyphens w:val="true"/>
              <w:spacing w:before="40" w:after="40"/>
              <w:ind w:left="180" w:right="0" w:hanging="0"/>
              <w:jc w:val="both"/>
              <w:rPr>
                <w:rFonts w:ascii="Arial" w:hAnsi="Arial" w:cs="Arial"/>
                <w:color w:val="000000" w:themeColor="text1"/>
                <w:sz w:val="24"/>
                <w:szCs w:val="24"/>
              </w:rPr>
            </w:pPr>
            <w:r>
              <w:rPr>
                <w:rFonts w:eastAsia="Times New Roman" w:cs="Arial" w:ascii="Arial" w:hAnsi="Arial"/>
                <w:color w:val="000000"/>
                <w:kern w:val="0"/>
                <w:sz w:val="24"/>
                <w:szCs w:val="24"/>
                <w:lang w:val="en-US" w:eastAsia="en-US" w:bidi="ar-SA"/>
              </w:rPr>
              <w:t>Nitrate(mg/l)</w:t>
            </w:r>
          </w:p>
        </w:tc>
        <w:tc>
          <w:tcPr>
            <w:tcW w:w="144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3/21/22</w:t>
            </w:r>
          </w:p>
        </w:tc>
        <w:tc>
          <w:tcPr>
            <w:tcW w:w="1259" w:type="dxa"/>
            <w:tcBorders>
              <w:top w:val="nil"/>
            </w:tcBorders>
          </w:tcPr>
          <w:p>
            <w:pPr>
              <w:pStyle w:val="Normal"/>
              <w:widowControl w:val="false"/>
              <w:suppressAutoHyphens w:val="true"/>
              <w:spacing w:before="40" w:after="40"/>
              <w:ind w:right="0" w:hanging="0"/>
              <w:jc w:val="both"/>
              <w:rPr>
                <w:rFonts w:ascii="Arial" w:hAnsi="Arial" w:eastAsia="Times New Roman" w:cs="Arial"/>
                <w:color w:val="000000"/>
                <w:kern w:val="0"/>
                <w:sz w:val="24"/>
                <w:szCs w:val="24"/>
                <w:lang w:val="en-US" w:eastAsia="en-US" w:bidi="ar-SA"/>
              </w:rPr>
            </w:pPr>
            <w:r>
              <w:rPr>
                <w:rFonts w:eastAsia="Times New Roman" w:cs="Arial" w:ascii="Arial" w:hAnsi="Arial"/>
                <w:color w:val="000000"/>
                <w:kern w:val="0"/>
                <w:sz w:val="24"/>
                <w:szCs w:val="24"/>
                <w:lang w:val="en-US" w:eastAsia="en-US" w:bidi="ar-SA"/>
              </w:rPr>
              <w:t>2.3</w:t>
            </w:r>
          </w:p>
        </w:tc>
        <w:tc>
          <w:tcPr>
            <w:tcW w:w="1530" w:type="dxa"/>
            <w:tcBorders>
              <w:top w:val="nil"/>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2.3</w:t>
            </w:r>
          </w:p>
        </w:tc>
        <w:tc>
          <w:tcPr>
            <w:tcW w:w="1170" w:type="dxa"/>
            <w:tcBorders>
              <w:top w:val="nil"/>
            </w:tcBorders>
          </w:tcPr>
          <w:p>
            <w:pPr>
              <w:pStyle w:val="Normal"/>
              <w:widowControl w:val="false"/>
              <w:suppressAutoHyphens w:val="true"/>
              <w:spacing w:before="40" w:after="40"/>
              <w:jc w:val="center"/>
              <w:rPr>
                <w:rFonts w:ascii="Arial" w:hAnsi="Arial" w:cs="Arial"/>
                <w:color w:val="000000" w:themeColor="text1"/>
                <w:sz w:val="24"/>
                <w:szCs w:val="24"/>
              </w:rPr>
            </w:pPr>
            <w:r>
              <w:rPr>
                <w:rFonts w:cs="Arial" w:ascii="Arial" w:hAnsi="Arial"/>
                <w:color w:val="000000"/>
                <w:sz w:val="24"/>
                <w:szCs w:val="24"/>
              </w:rPr>
              <w:t>10</w:t>
            </w:r>
          </w:p>
        </w:tc>
        <w:tc>
          <w:tcPr>
            <w:tcW w:w="1262" w:type="dxa"/>
            <w:tcBorders>
              <w:top w:val="nil"/>
            </w:tcBorders>
          </w:tcPr>
          <w:p>
            <w:pPr>
              <w:pStyle w:val="Normal"/>
              <w:widowControl w:val="false"/>
              <w:suppressAutoHyphens w:val="true"/>
              <w:spacing w:before="40" w:after="40"/>
              <w:jc w:val="center"/>
              <w:rPr>
                <w:rFonts w:ascii="Arial" w:hAnsi="Arial" w:cs="Arial"/>
                <w:color w:val="000000" w:themeColor="text1"/>
                <w:sz w:val="24"/>
                <w:szCs w:val="24"/>
              </w:rPr>
            </w:pPr>
            <w:r>
              <w:rPr>
                <w:rFonts w:cs="Arial" w:ascii="Arial" w:hAnsi="Arial"/>
                <w:color w:val="000000"/>
                <w:sz w:val="24"/>
                <w:szCs w:val="24"/>
              </w:rPr>
              <w:t>10</w:t>
            </w:r>
          </w:p>
        </w:tc>
        <w:tc>
          <w:tcPr>
            <w:tcW w:w="1929" w:type="dxa"/>
            <w:tcBorders>
              <w:top w:val="nil"/>
            </w:tcBorders>
          </w:tcPr>
          <w:p>
            <w:pPr>
              <w:pStyle w:val="Normal"/>
              <w:widowControl w:val="false"/>
              <w:suppressAutoHyphens w:val="true"/>
              <w:spacing w:before="0" w:after="0"/>
              <w:jc w:val="left"/>
              <w:rPr>
                <w:rFonts w:ascii="Arial" w:hAnsi="Arial" w:cs="Arial"/>
                <w:b/>
                <w:b/>
                <w:bCs/>
                <w:sz w:val="24"/>
                <w:szCs w:val="24"/>
              </w:rPr>
            </w:pPr>
            <w:r>
              <w:rPr>
                <w:rFonts w:eastAsia="Times New Roman" w:cs="Arial" w:ascii="Arial" w:hAnsi="Arial"/>
                <w:kern w:val="0"/>
                <w:sz w:val="24"/>
                <w:szCs w:val="24"/>
                <w:lang w:val="en-US" w:eastAsia="en-US" w:bidi="ar-SA"/>
              </w:rPr>
              <w:t>Runoff and leaching from fertilizer use; leaching from septic tanks and sewage; erosion of natural deposits</w:t>
            </w:r>
          </w:p>
        </w:tc>
      </w:tr>
    </w:tbl>
    <w:p>
      <w:pPr>
        <w:pStyle w:val="Caption1"/>
        <w:rPr/>
      </w:pPr>
      <w:r>
        <w:rPr/>
        <w:t xml:space="preserve">Table </w:t>
      </w:r>
      <w:r>
        <w:rPr/>
        <w:fldChar w:fldCharType="begin"/>
      </w:r>
      <w:r>
        <w:rPr/>
        <w:instrText> SEQ Table \* ARABIC </w:instrText>
      </w:r>
      <w:r>
        <w:rPr/>
        <w:fldChar w:fldCharType="separate"/>
      </w:r>
      <w:r>
        <w:rPr/>
        <w:t>5</w:t>
      </w:r>
      <w:r>
        <w:rPr/>
        <w:fldChar w:fldCharType="end"/>
      </w:r>
      <w:r>
        <w:rPr/>
        <w:t>.  Detection of Contaminants with a Secondary Drinking Water Standard</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5"/>
        <w:gridCol w:w="1440"/>
        <w:gridCol w:w="1259"/>
        <w:gridCol w:w="1530"/>
        <w:gridCol w:w="900"/>
        <w:gridCol w:w="1171"/>
        <w:gridCol w:w="2290"/>
      </w:tblGrid>
      <w:tr>
        <w:trPr/>
        <w:tc>
          <w:tcPr>
            <w:tcW w:w="2245" w:type="dxa"/>
            <w:tcBorders/>
            <w:vAlign w:val="center"/>
          </w:tcPr>
          <w:p>
            <w:pPr>
              <w:pStyle w:val="Normal"/>
              <w:keepNext w:val="true"/>
              <w:keepLines/>
              <w:widowControl w:val="false"/>
              <w:suppressAutoHyphens w:val="true"/>
              <w:spacing w:lineRule="exact" w:line="240"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SMCL</w:t>
            </w:r>
          </w:p>
        </w:tc>
        <w:tc>
          <w:tcPr>
            <w:tcW w:w="1171"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2290" w:type="dxa"/>
            <w:tcBorders/>
            <w:vAlign w:val="center"/>
          </w:tcPr>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w:t>
            </w:r>
          </w:p>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of</w:t>
            </w:r>
          </w:p>
          <w:p>
            <w:pPr>
              <w:pStyle w:val="Normal"/>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right="0" w:hanging="0"/>
              <w:rPr>
                <w:rFonts w:ascii="Arial" w:hAnsi="Arial" w:cs="Arial"/>
                <w:sz w:val="24"/>
                <w:szCs w:val="24"/>
              </w:rPr>
            </w:pPr>
            <w:r>
              <w:rPr>
                <w:rFonts w:cs="Arial" w:ascii="Arial" w:hAnsi="Arial"/>
                <w:sz w:val="24"/>
                <w:szCs w:val="24"/>
              </w:rPr>
              <w:t>Iron (ppb)</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0" w:lastColumn="0" w:noHBand="0" w:val="0020"/>
            </w:tblPr>
            <w:tblGrid>
              <w:gridCol w:w="2245"/>
              <w:gridCol w:w="1440"/>
              <w:gridCol w:w="1259"/>
              <w:gridCol w:w="1530"/>
              <w:gridCol w:w="899"/>
              <w:gridCol w:w="1172"/>
              <w:gridCol w:w="2290"/>
            </w:tblGrid>
            <w:tr>
              <w:trPr>
                <w:trHeight w:val="432" w:hRule="atLeast"/>
              </w:trPr>
              <w:tc>
                <w:tcPr>
                  <w:tcW w:w="2245" w:type="dxa"/>
                  <w:tcBorders/>
                </w:tcPr>
                <w:p>
                  <w:pPr>
                    <w:pStyle w:val="Normal"/>
                    <w:widowControl w:val="false"/>
                    <w:suppressAutoHyphens w:val="true"/>
                    <w:spacing w:before="40" w:after="40"/>
                    <w:ind w:right="0" w:hanging="0"/>
                    <w:rPr>
                      <w:rFonts w:ascii="Arial" w:hAnsi="Arial" w:cs="Arial"/>
                      <w:sz w:val="24"/>
                      <w:szCs w:val="24"/>
                    </w:rPr>
                  </w:pPr>
                  <w:r>
                    <w:rPr>
                      <w:rFonts w:cs="Arial" w:ascii="Arial" w:hAnsi="Arial"/>
                      <w:sz w:val="24"/>
                      <w:szCs w:val="24"/>
                    </w:rPr>
                  </w:r>
                </w:p>
              </w:tc>
              <w:tc>
                <w:tcPr>
                  <w:tcW w:w="1440" w:type="dxa"/>
                  <w:tcBorders/>
                </w:tcPr>
                <w:p>
                  <w:pPr>
                    <w:pStyle w:val="Normal"/>
                    <w:widowControl w:val="false"/>
                    <w:suppressAutoHyphens w:val="true"/>
                    <w:spacing w:before="40" w:after="40"/>
                    <w:rPr>
                      <w:rFonts w:ascii="Arial" w:hAnsi="Arial" w:cs="Arial"/>
                      <w:sz w:val="24"/>
                      <w:szCs w:val="24"/>
                    </w:rPr>
                  </w:pPr>
                  <w:r>
                    <w:rPr>
                      <w:rFonts w:cs="Arial" w:ascii="Arial" w:hAnsi="Arial"/>
                      <w:sz w:val="24"/>
                      <w:szCs w:val="24"/>
                    </w:rPr>
                    <w:t>6/21/19</w:t>
                  </w:r>
                </w:p>
              </w:tc>
              <w:tc>
                <w:tcPr>
                  <w:tcW w:w="1259" w:type="dxa"/>
                  <w:tcBorders/>
                </w:tcPr>
                <w:p>
                  <w:pPr>
                    <w:pStyle w:val="Normal"/>
                    <w:widowControl w:val="false"/>
                    <w:suppressAutoHyphens w:val="true"/>
                    <w:spacing w:before="40" w:after="40"/>
                    <w:rPr>
                      <w:rFonts w:ascii="Arial" w:hAnsi="Arial" w:cs="Arial"/>
                      <w:sz w:val="24"/>
                      <w:szCs w:val="24"/>
                    </w:rPr>
                  </w:pPr>
                  <w:r>
                    <w:rPr>
                      <w:rFonts w:cs="Arial" w:ascii="Arial" w:hAnsi="Arial"/>
                      <w:sz w:val="24"/>
                      <w:szCs w:val="24"/>
                    </w:rPr>
                    <w:t>36</w:t>
                  </w:r>
                </w:p>
              </w:tc>
              <w:tc>
                <w:tcPr>
                  <w:tcW w:w="1530" w:type="dxa"/>
                  <w:tcBorders/>
                </w:tcPr>
                <w:p>
                  <w:pPr>
                    <w:pStyle w:val="Normal"/>
                    <w:widowControl w:val="false"/>
                    <w:suppressAutoHyphens w:val="true"/>
                    <w:spacing w:before="40" w:after="40"/>
                    <w:rPr>
                      <w:rFonts w:ascii="Arial" w:hAnsi="Arial" w:cs="Arial"/>
                      <w:sz w:val="24"/>
                      <w:szCs w:val="24"/>
                    </w:rPr>
                  </w:pPr>
                  <w:r>
                    <w:rPr>
                      <w:rFonts w:cs="Arial" w:ascii="Arial" w:hAnsi="Arial"/>
                      <w:sz w:val="24"/>
                      <w:szCs w:val="24"/>
                    </w:rPr>
                    <w:t>&lt;20 - 36</w:t>
                  </w:r>
                </w:p>
              </w:tc>
              <w:tc>
                <w:tcPr>
                  <w:tcW w:w="899" w:type="dxa"/>
                  <w:tcBorders/>
                </w:tcPr>
                <w:p>
                  <w:pPr>
                    <w:pStyle w:val="Normal"/>
                    <w:widowControl w:val="false"/>
                    <w:suppressAutoHyphens w:val="true"/>
                    <w:spacing w:before="40" w:after="40"/>
                    <w:rPr>
                      <w:rFonts w:ascii="Arial" w:hAnsi="Arial" w:cs="Arial"/>
                      <w:sz w:val="24"/>
                      <w:szCs w:val="24"/>
                    </w:rPr>
                  </w:pPr>
                  <w:r>
                    <w:rPr>
                      <w:rFonts w:cs="Arial" w:ascii="Arial" w:hAnsi="Arial"/>
                      <w:sz w:val="24"/>
                      <w:szCs w:val="24"/>
                    </w:rPr>
                    <w:t>50</w:t>
                  </w:r>
                </w:p>
              </w:tc>
              <w:tc>
                <w:tcPr>
                  <w:tcW w:w="1172" w:type="dxa"/>
                  <w:tcBorders/>
                </w:tcPr>
                <w:p>
                  <w:pPr>
                    <w:pStyle w:val="Normal"/>
                    <w:widowControl w:val="false"/>
                    <w:suppressAutoHyphens w:val="true"/>
                    <w:spacing w:before="40" w:after="40"/>
                    <w:rPr>
                      <w:rFonts w:ascii="Arial" w:hAnsi="Arial" w:cs="Arial"/>
                      <w:sz w:val="24"/>
                      <w:szCs w:val="24"/>
                    </w:rPr>
                  </w:pPr>
                  <w:r>
                    <w:rPr>
                      <w:rFonts w:cs="Arial" w:ascii="Arial" w:hAnsi="Arial"/>
                      <w:sz w:val="24"/>
                      <w:szCs w:val="24"/>
                    </w:rPr>
                    <w:t>20</w:t>
                  </w:r>
                </w:p>
              </w:tc>
              <w:tc>
                <w:tcPr>
                  <w:tcW w:w="2290" w:type="dxa"/>
                  <w:tcBorders/>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Leaching from natural</w:t>
                  </w:r>
                </w:p>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deposits</w:t>
                  </w:r>
                </w:p>
              </w:tc>
            </w:tr>
          </w:tbl>
          <w:p>
            <w:pPr>
              <w:pStyle w:val="Normal"/>
              <w:widowControl w:val="false"/>
              <w:rPr/>
            </w:pPr>
            <w:r>
              <w:rPr/>
            </w:r>
          </w:p>
        </w:tc>
        <w:tc>
          <w:tcPr>
            <w:tcW w:w="144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10/24/22</w:t>
            </w:r>
          </w:p>
        </w:tc>
        <w:tc>
          <w:tcPr>
            <w:tcW w:w="1259"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2250</w:t>
            </w:r>
          </w:p>
        </w:tc>
        <w:tc>
          <w:tcPr>
            <w:tcW w:w="153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1500 - 6400</w:t>
            </w:r>
          </w:p>
        </w:tc>
        <w:tc>
          <w:tcPr>
            <w:tcW w:w="90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300</w:t>
            </w:r>
          </w:p>
        </w:tc>
        <w:tc>
          <w:tcPr>
            <w:tcW w:w="1171"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t>100</w:t>
            </w:r>
          </w:p>
        </w:tc>
        <w:tc>
          <w:tcPr>
            <w:tcW w:w="2290" w:type="dxa"/>
            <w:tcBorders/>
            <w:tcMar>
              <w:left w:w="108" w:type="dxa"/>
              <w:right w:w="108" w:type="dxa"/>
            </w:tcMar>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Leaching from natural</w:t>
            </w:r>
          </w:p>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t>deposits; industrial wastes</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right="0" w:hanging="0"/>
              <w:rPr>
                <w:rFonts w:ascii="Arial" w:hAnsi="Arial" w:cs="Arial"/>
                <w:sz w:val="24"/>
                <w:szCs w:val="24"/>
              </w:rPr>
            </w:pPr>
            <w:r>
              <w:rPr>
                <w:rFonts w:cs="Arial" w:ascii="Arial" w:hAnsi="Arial"/>
                <w:sz w:val="24"/>
                <w:szCs w:val="24"/>
              </w:rPr>
            </w:r>
          </w:p>
        </w:tc>
        <w:tc>
          <w:tcPr>
            <w:tcW w:w="144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r>
          </w:p>
        </w:tc>
        <w:tc>
          <w:tcPr>
            <w:tcW w:w="1259"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r>
          </w:p>
        </w:tc>
        <w:tc>
          <w:tcPr>
            <w:tcW w:w="153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r>
          </w:p>
        </w:tc>
        <w:tc>
          <w:tcPr>
            <w:tcW w:w="900"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r>
          </w:p>
        </w:tc>
        <w:tc>
          <w:tcPr>
            <w:tcW w:w="1171" w:type="dxa"/>
            <w:tcBorders/>
            <w:tcMar>
              <w:left w:w="108" w:type="dxa"/>
              <w:right w:w="108" w:type="dxa"/>
            </w:tcMar>
          </w:tcPr>
          <w:p>
            <w:pPr>
              <w:pStyle w:val="Normal"/>
              <w:widowControl w:val="false"/>
              <w:suppressAutoHyphens w:val="true"/>
              <w:spacing w:before="40" w:after="40"/>
              <w:rPr>
                <w:rFonts w:ascii="Arial" w:hAnsi="Arial" w:cs="Arial"/>
                <w:sz w:val="24"/>
                <w:szCs w:val="24"/>
              </w:rPr>
            </w:pPr>
            <w:r>
              <w:rPr>
                <w:rFonts w:cs="Arial" w:ascii="Arial" w:hAnsi="Arial"/>
                <w:sz w:val="24"/>
                <w:szCs w:val="24"/>
              </w:rPr>
            </w:r>
          </w:p>
        </w:tc>
        <w:tc>
          <w:tcPr>
            <w:tcW w:w="2290" w:type="dxa"/>
            <w:tcBorders/>
            <w:tcMar>
              <w:left w:w="108" w:type="dxa"/>
              <w:right w:w="108" w:type="dxa"/>
            </w:tcMar>
          </w:tcPr>
          <w:p>
            <w:pPr>
              <w:pStyle w:val="Normal"/>
              <w:widowControl w:val="false"/>
              <w:suppressAutoHyphens w:val="true"/>
              <w:spacing w:before="40" w:after="40"/>
              <w:rPr>
                <w:rFonts w:ascii="TimesNewRomanPSMT" w:hAnsi="TimesNewRomanPSMT" w:cs="TimesNewRomanPSMT"/>
                <w:sz w:val="24"/>
                <w:szCs w:val="24"/>
              </w:rPr>
            </w:pPr>
            <w:r>
              <w:rPr>
                <w:rFonts w:cs="TimesNewRomanPSMT" w:ascii="TimesNewRomanPSMT" w:hAnsi="TimesNewRomanPSMT"/>
                <w:sz w:val="24"/>
                <w:szCs w:val="24"/>
              </w:rPr>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cs="Arial" w:ascii="Arial" w:hAnsi="Arial"/>
                <w:sz w:val="24"/>
                <w:szCs w:val="24"/>
              </w:rPr>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25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53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90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171"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29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t xml:space="preserve"> </w:t>
            </w:r>
          </w:p>
        </w:tc>
      </w:tr>
    </w:tbl>
    <w:p>
      <w:pPr>
        <w:pStyle w:val="Caption1"/>
        <w:widowControl w:val="false"/>
        <w:rPr/>
      </w:pPr>
      <w:r>
        <w:rPr/>
        <w:t xml:space="preserve">Table </w:t>
      </w:r>
      <w:r>
        <w:rPr/>
        <w:fldChar w:fldCharType="begin"/>
      </w:r>
      <w:r>
        <w:rPr/>
        <w:instrText> SEQ Table \* ARABIC </w:instrText>
      </w:r>
      <w:r>
        <w:rPr/>
        <w:fldChar w:fldCharType="separate"/>
      </w:r>
      <w:r>
        <w:rPr/>
        <w:t>6</w:t>
      </w:r>
      <w:r>
        <w:rPr/>
        <w:fldChar w:fldCharType="end"/>
      </w:r>
      <w:r>
        <w:rPr/>
        <w:t>.  Detection of Unregulated Contaminants</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350"/>
        <w:gridCol w:w="1530"/>
        <w:gridCol w:w="1800"/>
        <w:gridCol w:w="2470"/>
      </w:tblGrid>
      <w:tr>
        <w:trPr>
          <w:trHeight w:val="440" w:hRule="atLeast"/>
        </w:trPr>
        <w:tc>
          <w:tcPr>
            <w:tcW w:w="2245" w:type="dxa"/>
            <w:tcBorders/>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35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80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Notification Level</w:t>
            </w:r>
          </w:p>
        </w:tc>
        <w:tc>
          <w:tcPr>
            <w:tcW w:w="247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 xml:space="preserve">Health Effects </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TTHM</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5/18/22</w:t>
            </w:r>
          </w:p>
        </w:tc>
        <w:tc>
          <w:tcPr>
            <w:tcW w:w="135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5.42</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5.42</w:t>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80</w:t>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350"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 xml:space="preserve"> </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350" w:type="dxa"/>
            <w:tcBorders/>
          </w:tcPr>
          <w:p>
            <w:pPr>
              <w:pStyle w:val="Normal"/>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 xml:space="preserve"> </w:t>
            </w:r>
          </w:p>
        </w:tc>
      </w:tr>
    </w:tbl>
    <w:p>
      <w:pPr>
        <w:pStyle w:val="Heading3"/>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spacing w:before="0" w:after="240"/>
        <w:rPr>
          <w:rFonts w:ascii="Arial" w:hAnsi="Arial" w:cs="Arial"/>
          <w:sz w:val="24"/>
          <w:szCs w:val="24"/>
        </w:rPr>
      </w:pPr>
      <w:r>
        <w:rPr>
          <w:rFonts w:cs="Arial" w:ascii="Arial" w:hAnsi="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cs="Arial" w:ascii="Arial" w:hAnsi="Arial"/>
          <w:bCs/>
          <w:sz w:val="24"/>
          <w:szCs w:val="24"/>
          <w:u w:val="single"/>
        </w:rPr>
        <w:t>[</w:t>
      </w:r>
      <w:r>
        <w:rPr>
          <w:rFonts w:cs="Arial" w:ascii="Arial" w:hAnsi="Arial"/>
          <w:bCs/>
          <w:sz w:val="24"/>
          <w:szCs w:val="24"/>
        </w:rPr>
        <w:t>Enter Water System’s Name</w:t>
      </w:r>
      <w:r>
        <w:rPr>
          <w:rFonts w:cs="Arial" w:ascii="Arial" w:hAnsi="Arial"/>
          <w:bCs/>
          <w:sz w:val="24"/>
          <w:szCs w:val="24"/>
          <w:u w:val="single"/>
        </w:rPr>
        <w:t>]</w:t>
      </w:r>
      <w:r>
        <w:rPr>
          <w:rFonts w:cs="Arial" w:ascii="Arial" w:hAnsi="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Pr>
          <w:rFonts w:cs="Arial" w:ascii="Arial" w:hAnsi="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2">
        <w:r>
          <w:rPr>
            <w:rStyle w:val="InternetLink"/>
            <w:rFonts w:cs="Arial" w:ascii="Arial" w:hAnsi="Arial"/>
            <w:color w:val="auto"/>
            <w:sz w:val="24"/>
            <w:szCs w:val="24"/>
          </w:rPr>
          <w:t>http://www.epa.gov/lead</w:t>
        </w:r>
      </w:hyperlink>
      <w:r>
        <w:rPr>
          <w:rFonts w:cs="Arial" w:ascii="Arial" w:hAnsi="Arial"/>
          <w:sz w:val="24"/>
          <w:szCs w:val="24"/>
        </w:rPr>
        <w:t>.</w:t>
      </w:r>
    </w:p>
    <w:p>
      <w:pPr>
        <w:pStyle w:val="TextBody"/>
        <w:widowControl/>
        <w:tabs>
          <w:tab w:val="clear" w:pos="720"/>
          <w:tab w:val="left" w:pos="330" w:leader="none"/>
        </w:tabs>
        <w:spacing w:before="60" w:after="60"/>
        <w:ind w:left="331" w:hanging="0"/>
        <w:jc w:val="left"/>
        <w:rPr>
          <w:rFonts w:ascii="Arial" w:hAnsi="Arial" w:cs="Arial"/>
          <w:sz w:val="24"/>
        </w:rPr>
      </w:pPr>
      <w:r>
        <w:rPr>
          <w:rFonts w:eastAsia="Times New Roman" w:cs="Arial" w:ascii="Arial" w:hAnsi="Arial"/>
          <w:kern w:val="0"/>
          <w:sz w:val="24"/>
          <w:szCs w:val="24"/>
          <w:lang w:val="en-US" w:eastAsia="en-US" w:bidi="ar-SA"/>
        </w:rPr>
        <w:t>“</w:t>
      </w:r>
      <w:r>
        <w:rPr>
          <w:rFonts w:eastAsia="Times New Roman" w:cs="Arial" w:ascii="Arial" w:hAnsi="Arial"/>
          <w:kern w:val="0"/>
          <w:sz w:val="24"/>
          <w:szCs w:val="24"/>
          <w:lang w:val="en-US" w:eastAsia="en-US" w:bidi="ar-SA"/>
        </w:rPr>
        <w:t>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p>
      <w:pPr>
        <w:pStyle w:val="TextBody"/>
        <w:widowControl/>
        <w:tabs>
          <w:tab w:val="clear" w:pos="720"/>
          <w:tab w:val="left" w:pos="330" w:leader="none"/>
        </w:tabs>
        <w:spacing w:before="60" w:after="60"/>
        <w:ind w:left="331" w:hanging="0"/>
        <w:jc w:val="left"/>
        <w:rPr>
          <w:rFonts w:ascii="Arial" w:hAnsi="Arial" w:cs="Arial"/>
          <w:sz w:val="24"/>
        </w:rPr>
      </w:pPr>
      <w:r>
        <w:rPr>
          <w:rFonts w:cs="Arial" w:ascii="Arial" w:hAnsi="Arial"/>
          <w:sz w:val="24"/>
        </w:rPr>
      </w:r>
    </w:p>
    <w:p>
      <w:pPr>
        <w:pStyle w:val="Normal"/>
        <w:spacing w:before="0" w:after="240"/>
        <w:rPr>
          <w:rFonts w:ascii="Arial" w:hAnsi="Arial" w:cs="Arial"/>
          <w:bCs/>
          <w:sz w:val="24"/>
        </w:rPr>
      </w:pPr>
      <w:r>
        <w:rPr>
          <w:rFonts w:cs="Arial" w:ascii="Arial" w:hAnsi="Arial"/>
          <w:bCs/>
          <w:sz w:val="24"/>
        </w:rPr>
        <w:t xml:space="preserve">Additional Special Language for Nitrate, Arsenic, Lead, Radon, and </w:t>
      </w:r>
      <w:r>
        <w:rPr>
          <w:rFonts w:cs="Arial" w:ascii="Arial" w:hAnsi="Arial"/>
          <w:bCs/>
          <w:i/>
          <w:sz w:val="24"/>
        </w:rPr>
        <w:t>Cryptosporidium</w:t>
      </w:r>
      <w:r>
        <w:rPr>
          <w:rFonts w:cs="Arial" w:ascii="Arial" w:hAnsi="Arial"/>
          <w:bCs/>
          <w:sz w:val="24"/>
        </w:rPr>
        <w:t>:  NA</w:t>
      </w:r>
    </w:p>
    <w:p>
      <w:pPr>
        <w:pStyle w:val="Normal"/>
        <w:spacing w:before="0" w:after="240"/>
        <w:rPr>
          <w:rFonts w:ascii="Arial" w:hAnsi="Arial" w:cs="Arial"/>
          <w:sz w:val="24"/>
          <w:szCs w:val="24"/>
        </w:rPr>
      </w:pPr>
      <w:r>
        <w:rPr>
          <w:rFonts w:cs="Arial" w:ascii="Arial" w:hAnsi="Arial"/>
          <w:sz w:val="24"/>
          <w:szCs w:val="24"/>
        </w:rPr>
        <w:t>State Revised Total Coliform Rule (RTCR): [Enter Additional Information Described in Instructions for SWS CCR Document]</w:t>
      </w:r>
    </w:p>
    <w:p>
      <w:pPr>
        <w:pStyle w:val="Heading3"/>
        <w:keepNext w:val="true"/>
        <w:rPr>
          <w:color w:val="auto"/>
        </w:rPr>
      </w:pPr>
      <w:bookmarkStart w:id="9" w:name="_Toc58336720"/>
      <w:r>
        <w:rPr>
          <w:color w:val="auto"/>
        </w:rPr>
        <w:t>Summary Information for Violation of a MCL, MRDL, AL, TT, or Monitoring and Reporting Requirement</w:t>
      </w:r>
      <w:bookmarkEnd w:id="9"/>
    </w:p>
    <w:p>
      <w:pPr>
        <w:pStyle w:val="Caption1"/>
        <w:spacing w:beforeAutospacing="1" w:after="120"/>
        <w:rPr/>
      </w:pPr>
      <w:r>
        <w:rPr/>
        <w:t>Table 7. Violation of a MCL, MRDL, AL, TT or Monitoring Reporting Requirement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none</w:t>
            </w:r>
          </w:p>
        </w:tc>
        <w:tc>
          <w:tcPr>
            <w:tcW w:w="2248"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Explanation]</w:t>
            </w:r>
          </w:p>
        </w:tc>
        <w:tc>
          <w:tcPr>
            <w:tcW w:w="189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 Taken]</w:t>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Type]</w:t>
            </w:r>
          </w:p>
        </w:tc>
        <w:tc>
          <w:tcPr>
            <w:tcW w:w="2248"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Explanation]</w:t>
            </w:r>
          </w:p>
        </w:tc>
        <w:tc>
          <w:tcPr>
            <w:tcW w:w="189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 Taken]</w:t>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bl>
    <w:p>
      <w:pPr>
        <w:pStyle w:val="Normal"/>
        <w:rPr>
          <w:rFonts w:ascii="Arial" w:hAnsi="Arial" w:cs="Arial"/>
          <w:sz w:val="24"/>
          <w:szCs w:val="24"/>
        </w:rPr>
      </w:pPr>
      <w:r>
        <w:rPr>
          <w:rFonts w:cs="Arial" w:ascii="Arial" w:hAnsi="Arial"/>
          <w:sz w:val="24"/>
          <w:szCs w:val="24"/>
        </w:rPr>
      </w:r>
    </w:p>
    <w:p>
      <w:pPr>
        <w:pStyle w:val="Heading3"/>
        <w:keepNext w:val="true"/>
        <w:rPr>
          <w:color w:val="auto"/>
        </w:rPr>
      </w:pPr>
      <w:bookmarkStart w:id="10" w:name="_Toc58336721"/>
      <w:r>
        <w:rPr>
          <w:color w:val="auto"/>
        </w:rPr>
        <w:t>For Water Systems Providing Groundwater as a Source of Drinking Water</w:t>
      </w:r>
      <w:bookmarkEnd w:id="10"/>
    </w:p>
    <w:p>
      <w:pPr>
        <w:pStyle w:val="Caption1"/>
        <w:keepNext w:val="false"/>
        <w:spacing w:before="0" w:after="120"/>
        <w:rPr/>
      </w:pPr>
      <w:r>
        <w:rPr/>
        <w:t>Table 8.  Sampling Results Showing Fecal Indicator-Positive Groundwater Source Samples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515"/>
        <w:gridCol w:w="1620"/>
        <w:gridCol w:w="1440"/>
        <w:gridCol w:w="1080"/>
        <w:gridCol w:w="1439"/>
        <w:gridCol w:w="2741"/>
      </w:tblGrid>
      <w:tr>
        <w:trPr>
          <w:tblHeader w:val="true"/>
        </w:trPr>
        <w:tc>
          <w:tcPr>
            <w:tcW w:w="251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Microbiological Contaminants (complete if fecal-indicator detected)</w:t>
            </w:r>
          </w:p>
        </w:tc>
        <w:tc>
          <w:tcPr>
            <w:tcW w:w="1620" w:type="dxa"/>
            <w:tcBorders/>
            <w:vAlign w:val="center"/>
          </w:tcPr>
          <w:p>
            <w:pPr>
              <w:pStyle w:val="Normal"/>
              <w:widowControl w:val="false"/>
              <w:suppressAutoHyphens w:val="true"/>
              <w:spacing w:lineRule="exact" w:line="220" w:before="40" w:after="40"/>
              <w:ind w:left="-108" w:right="-90" w:hanging="0"/>
              <w:jc w:val="center"/>
              <w:rPr>
                <w:rFonts w:ascii="Arial" w:hAnsi="Arial" w:cs="Arial"/>
                <w:b/>
                <w:b/>
                <w:sz w:val="24"/>
                <w:szCs w:val="24"/>
              </w:rPr>
            </w:pPr>
            <w:r>
              <w:rPr>
                <w:rFonts w:eastAsia="Times New Roman" w:cs="Arial" w:ascii="Arial" w:hAnsi="Arial"/>
                <w:b/>
                <w:kern w:val="0"/>
                <w:sz w:val="24"/>
                <w:szCs w:val="24"/>
                <w:lang w:val="en-US" w:eastAsia="en-US" w:bidi="ar-SA"/>
              </w:rPr>
              <w:t>Total No. of Detections</w:t>
            </w:r>
          </w:p>
        </w:tc>
        <w:tc>
          <w:tcPr>
            <w:tcW w:w="144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Dates</w:t>
            </w:r>
          </w:p>
        </w:tc>
        <w:tc>
          <w:tcPr>
            <w:tcW w:w="108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439"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2741"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i/>
                <w:i/>
                <w:sz w:val="24"/>
                <w:szCs w:val="24"/>
              </w:rPr>
            </w:pPr>
            <w:r>
              <w:rPr>
                <w:rFonts w:eastAsia="Times New Roman" w:cs="Arial" w:ascii="Arial" w:hAnsi="Arial"/>
                <w:i/>
                <w:kern w:val="0"/>
                <w:sz w:val="24"/>
                <w:szCs w:val="24"/>
                <w:lang w:val="en-US" w:eastAsia="en-US" w:bidi="ar-SA"/>
              </w:rPr>
              <w:t>E. coli</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Enterococci</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Coliphage</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Heading3"/>
        <w:rPr>
          <w:color w:val="auto"/>
          <w:sz w:val="28"/>
        </w:rPr>
      </w:pPr>
      <w:r>
        <w:rPr>
          <w:color w:val="auto"/>
          <w:sz w:val="28"/>
        </w:rPr>
      </w:r>
    </w:p>
    <w:p>
      <w:pPr>
        <w:pStyle w:val="Heading3"/>
        <w:keepNext w:val="true"/>
        <w:rPr>
          <w:color w:val="auto"/>
        </w:rPr>
      </w:pPr>
      <w:bookmarkStart w:id="11" w:name="_Toc58336723"/>
      <w:r>
        <w:rPr>
          <w:color w:val="auto"/>
        </w:rPr>
        <w:t>For Systems Providing Surface Water as a Source of Drinking Water</w:t>
      </w:r>
      <w:bookmarkEnd w:id="11"/>
      <w:r>
        <w:rPr>
          <w:color w:val="auto"/>
        </w:rPr>
        <w:t xml:space="preserve">  NA</w:t>
      </w:r>
    </w:p>
    <w:p>
      <w:pPr>
        <w:pStyle w:val="Caption1"/>
        <w:spacing w:before="120" w:after="120"/>
        <w:rPr>
          <w:rFonts w:ascii="Arial" w:hAnsi="Arial" w:cs="Arial"/>
          <w:b w:val="false"/>
          <w:b w:val="false"/>
          <w:bCs/>
          <w:i/>
          <w:i/>
          <w:sz w:val="24"/>
          <w:szCs w:val="24"/>
        </w:rPr>
      </w:pPr>
      <w:r>
        <w:rPr>
          <w:rFonts w:cs="Arial"/>
          <w:b w:val="false"/>
          <w:bCs/>
          <w:i/>
          <w:sz w:val="24"/>
          <w:szCs w:val="24"/>
        </w:rPr>
      </w:r>
    </w:p>
    <w:p>
      <w:pPr>
        <w:pStyle w:val="Heading3"/>
        <w:keepNext w:val="true"/>
        <w:rPr>
          <w:color w:val="auto"/>
        </w:rPr>
      </w:pPr>
      <w:r>
        <w:rPr>
          <w:color w:val="auto"/>
        </w:rPr>
      </w:r>
    </w:p>
    <w:p>
      <w:pPr>
        <w:pStyle w:val="Heading3"/>
        <w:keepNext w:val="true"/>
        <w:rPr>
          <w:color w:val="auto"/>
        </w:rPr>
      </w:pPr>
      <w:bookmarkStart w:id="12" w:name="_Toc58336726"/>
      <w:r>
        <w:rPr>
          <w:color w:val="auto"/>
        </w:rPr>
        <w:t>Summary Information for Revised Total Coliform Rule Level 1 and Level 2 Assessment Requirements</w:t>
      </w:r>
      <w:bookmarkEnd w:id="12"/>
    </w:p>
    <w:p>
      <w:pPr>
        <w:pStyle w:val="Normal"/>
        <w:rPr>
          <w:rFonts w:ascii="Arial" w:hAnsi="Arial" w:cs="Arial"/>
          <w:sz w:val="24"/>
          <w:szCs w:val="24"/>
        </w:rPr>
      </w:pPr>
      <w:r>
        <w:rPr>
          <w:rFonts w:cs="Arial" w:ascii="Arial" w:hAnsi="Arial"/>
          <w:sz w:val="24"/>
          <w:szCs w:val="24"/>
        </w:rPr>
        <w:t xml:space="preserve">If a water system is required to comply with a Level 1 or Level 2 assessment requirement that is not due to an </w:t>
      </w:r>
      <w:r>
        <w:rPr>
          <w:rFonts w:cs="Arial" w:ascii="Arial" w:hAnsi="Arial"/>
          <w:i/>
          <w:iCs/>
          <w:sz w:val="24"/>
          <w:szCs w:val="24"/>
        </w:rPr>
        <w:t>E. coli</w:t>
      </w:r>
      <w:r>
        <w:rPr>
          <w:rFonts w:cs="Arial" w:ascii="Arial" w:hAnsi="Arial"/>
          <w:sz w:val="24"/>
          <w:szCs w:val="24"/>
        </w:rPr>
        <w:t xml:space="preserve"> MCL violation, include the following information below [22 CCR section 64481(n)(1)].</w:t>
      </w:r>
    </w:p>
    <w:p>
      <w:pPr>
        <w:pStyle w:val="Normal"/>
        <w:rPr>
          <w:rFonts w:ascii="Arial" w:hAnsi="Arial" w:cs="Arial"/>
          <w:sz w:val="24"/>
          <w:szCs w:val="24"/>
        </w:rPr>
      </w:pPr>
      <w:r>
        <w:rPr>
          <w:rFonts w:cs="Arial" w:ascii="Arial" w:hAnsi="Arial"/>
          <w:sz w:val="24"/>
          <w:szCs w:val="24"/>
        </w:rPr>
      </w:r>
    </w:p>
    <w:p>
      <w:pPr>
        <w:pStyle w:val="Heading4"/>
        <w:rPr>
          <w:color w:val="auto"/>
        </w:rPr>
      </w:pPr>
      <w:r>
        <w:rPr>
          <w:color w:val="auto"/>
        </w:rPr>
        <w:t xml:space="preserve">Level 1 or Level 2 Assessment Requirement not Due to an </w:t>
      </w:r>
      <w:r>
        <w:rPr>
          <w:i/>
          <w:color w:val="auto"/>
        </w:rPr>
        <w:t>E. coli</w:t>
      </w:r>
      <w:r>
        <w:rPr>
          <w:color w:val="auto"/>
        </w:rPr>
        <w:t xml:space="preserve"> MCL Violation</w:t>
      </w:r>
    </w:p>
    <w:p>
      <w:pPr>
        <w:pStyle w:val="Normal"/>
        <w:pBdr>
          <w:top w:val="single" w:sz="4" w:space="1" w:color="000000"/>
          <w:left w:val="single" w:sz="4" w:space="4" w:color="000000"/>
          <w:bottom w:val="single" w:sz="4" w:space="1" w:color="000000"/>
          <w:right w:val="single" w:sz="4" w:space="4" w:color="000000"/>
        </w:pBdr>
        <w:spacing w:beforeAutospacing="1" w:after="240"/>
        <w:rPr>
          <w:rFonts w:ascii="Arial" w:hAnsi="Arial" w:cs="Arial"/>
          <w:sz w:val="24"/>
          <w:szCs w:val="24"/>
        </w:rPr>
      </w:pPr>
      <w:r>
        <w:rPr>
          <w:rFonts w:cs="Arial" w:ascii="Arial" w:hAnsi="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0" w:after="240"/>
        <w:rPr>
          <w:rFonts w:ascii="Arial" w:hAnsi="Arial" w:cs="Arial"/>
          <w:sz w:val="24"/>
          <w:szCs w:val="24"/>
        </w:rPr>
      </w:pPr>
      <w:r>
        <w:rPr>
          <w:rFonts w:cs="Arial" w:ascii="Arial" w:hAnsi="Arial"/>
          <w:sz w:val="24"/>
          <w:szCs w:val="24"/>
        </w:rPr>
        <w:t>The water system shall include the following statements, as appropriate:</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During the past year we were required to conduct 1 Level 1 assessment(s).  1 Level 1 assessment was completed.  In addition, we were required to take no corrective actions and we completed all of these actions.</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During the past year 0 Level 2 assessments were required to be completed for our water system.  0 Level 2 assessments were completed.  In addition, we were required to take 0 corrective actions and we completed all of these actions.</w:t>
      </w:r>
    </w:p>
    <w:p>
      <w:pPr>
        <w:pStyle w:val="Normal"/>
        <w:spacing w:before="0" w:after="240"/>
        <w:rPr>
          <w:rFonts w:ascii="Arial" w:hAnsi="Arial" w:cs="Arial"/>
          <w:sz w:val="24"/>
          <w:szCs w:val="24"/>
        </w:rPr>
      </w:pPr>
      <w:r>
        <w:rPr/>
      </w:r>
    </w:p>
    <w:sectPr>
      <w:headerReference w:type="default" r:id="rId3"/>
      <w:footerReference w:type="default" r:id="rId4"/>
      <w:type w:val="nextPage"/>
      <w:pgSz w:w="12240" w:h="15840"/>
      <w:pgMar w:left="720" w:right="720" w:header="432" w:top="864" w:footer="432" w:bottom="864"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 w:name="Calibri Light">
    <w:charset w:val="00"/>
    <w:family w:val="roman"/>
    <w:pitch w:val="variable"/>
  </w:font>
  <w:font w:name="sans-serif">
    <w:altName w:val="Arial"/>
    <w:charset w:val="00"/>
    <w:family w:val="roman"/>
    <w:pitch w:val="variable"/>
  </w:font>
  <w:font w:name="serif">
    <w:charset w:val="00"/>
    <w:family w:val="roman"/>
    <w:pitch w:val="variable"/>
  </w:font>
  <w:font w:name="SimSun">
    <w:charset w:val="00"/>
    <w:family w:val="roman"/>
    <w:pitch w:val="variable"/>
  </w:font>
  <w:font w:name="TimesNewRomanPS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PAGE </w:instrText>
    </w:r>
    <w:r>
      <w:rPr>
        <w:rStyle w:val="Pagenumber"/>
        <w:sz w:val="24"/>
        <w:szCs w:val="24"/>
        <w:rFonts w:cs="Arial" w:ascii="Arial" w:hAnsi="Arial"/>
      </w:rPr>
      <w:fldChar w:fldCharType="separate"/>
    </w:r>
    <w:r>
      <w:rPr>
        <w:rStyle w:val="Pagenumber"/>
        <w:sz w:val="24"/>
        <w:szCs w:val="24"/>
        <w:rFonts w:cs="Arial" w:ascii="Arial" w:hAnsi="Arial"/>
      </w:rPr>
      <w:t>8</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NUMPAGES </w:instrText>
    </w:r>
    <w:r>
      <w:rPr>
        <w:rStyle w:val="Pagenumber"/>
        <w:sz w:val="24"/>
        <w:szCs w:val="24"/>
        <w:rFonts w:cs="Arial" w:ascii="Arial" w:hAnsi="Arial"/>
      </w:rPr>
      <w:fldChar w:fldCharType="separate"/>
    </w:r>
    <w:r>
      <w:rPr>
        <w:rStyle w:val="Pagenumber"/>
        <w:sz w:val="24"/>
        <w:szCs w:val="24"/>
        <w:rFonts w:cs="Arial" w:ascii="Arial" w:hAnsi="Arial"/>
      </w:rPr>
      <w:t>8</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CommentSubject"/>
    <w:qFormat/>
    <w:rsid w:val="00473411"/>
    <w:rPr>
      <w:b/>
      <w:bCs/>
    </w:rPr>
  </w:style>
  <w:style w:type="character" w:styleId="FootnoteTextChar" w:customStyle="1">
    <w:name w:val="Footnote Text Char"/>
    <w:link w:val="FootnoteText"/>
    <w:qFormat/>
    <w:rsid w:val="00dd7d18"/>
    <w:rPr>
      <w:sz w:val="24"/>
    </w:rPr>
  </w:style>
  <w:style w:type="character" w:styleId="FootnoteCharacters">
    <w:name w:val="Footnote Characters"/>
    <w:qFormat/>
    <w:rsid w:val="00dd7d18"/>
    <w:rPr>
      <w:vertAlign w:val="superscript"/>
    </w:rPr>
  </w:style>
  <w:style w:type="character" w:styleId="FootnoteAnchor">
    <w:name w:val="Footnote Anchor"/>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Text"/>
    <w:qFormat/>
    <w:rsid w:val="00d62607"/>
    <w:rPr/>
  </w:style>
  <w:style w:type="character" w:styleId="EndnoteCharacters">
    <w:name w:val="Endnote Characters"/>
    <w:basedOn w:val="DefaultParagraphFont"/>
    <w:qFormat/>
    <w:rsid w:val="00d62607"/>
    <w:rPr>
      <w:vertAlign w:val="superscript"/>
    </w:rPr>
  </w:style>
  <w:style w:type="character" w:styleId="EndnoteAnchor">
    <w:name w:val="Endnote Anchor"/>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qFormat/>
    <w:rsid w:val="0025569c"/>
    <w:rPr>
      <w:rFonts w:ascii="Footlight MT Light" w:hAnsi="Footlight MT Light"/>
      <w:sz w:val="2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TOCHeading">
    <w:name w:val="TOC Heading"/>
    <w:basedOn w:val="Heading1"/>
    <w:next w:val="Normal"/>
    <w:uiPriority w:val="39"/>
    <w:unhideWhenUsed/>
    <w:qFormat/>
    <w:rsid w:val="007b2bc6"/>
    <w:pPr>
      <w:keepLines/>
      <w:spacing w:lineRule="auto" w:line="259" w:before="240" w:after="0"/>
    </w:pPr>
    <w:rPr>
      <w:rFonts w:ascii="Calibri Light" w:hAnsi="Calibri Light" w:eastAsia="等线 Light" w:cs="Times New Roman"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lea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LibreOffice/7.1.8.1$Windows_X86_64 LibreOffice_project/e1f30c802c3269a1d052614453f260e49458c82c</Application>
  <AppVersion>15.0000</AppVersion>
  <Pages>8</Pages>
  <Words>2526</Words>
  <Characters>13795</Characters>
  <CharactersWithSpaces>16051</CharactersWithSpaces>
  <Paragraphs>293</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2022-01-19T19:02:00Z</dcterms:created>
  <dc:creator>SWB - Regulatory Development Unit</dc:creator>
  <dc:description/>
  <cp:keywords>Consumer Consumer Consumer Confidence Report Small Water System Template</cp:keywords>
  <dc:language>en-US</dc:language>
  <cp:lastModifiedBy/>
  <cp:lastPrinted>2022-01-19T18:53:00Z</cp:lastPrinted>
  <dcterms:modified xsi:type="dcterms:W3CDTF">2023-06-29T21:11:40Z</dcterms:modified>
  <cp:revision>7</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