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0" w:after="0"/>
        <w:jc w:val="center"/>
        <w:rPr/>
      </w:pPr>
      <w:bookmarkStart w:id="0" w:name="_Toc58336712"/>
      <w:r>
        <w:rPr/>
        <w:t>2021 Consumer Confidence Report</w:t>
      </w:r>
      <w:bookmarkEnd w:id="0"/>
    </w:p>
    <w:p>
      <w:pPr>
        <w:pStyle w:val="Heading2"/>
        <w:rPr/>
      </w:pPr>
      <w:bookmarkStart w:id="1" w:name="_Toc58336713"/>
      <w:r>
        <w:rPr/>
        <w:t>Water System Information</w:t>
      </w:r>
      <w:bookmarkEnd w:id="1"/>
    </w:p>
    <w:p>
      <w:pPr>
        <w:pStyle w:val="Normal"/>
        <w:spacing w:before="0" w:after="240"/>
        <w:rPr>
          <w:rFonts w:ascii="Arial" w:hAnsi="Arial" w:cs="Arial"/>
          <w:sz w:val="24"/>
          <w:szCs w:val="24"/>
        </w:rPr>
      </w:pPr>
      <w:r>
        <w:rPr>
          <w:rFonts w:cs="Arial" w:ascii="Arial" w:hAnsi="Arial"/>
          <w:sz w:val="24"/>
          <w:szCs w:val="24"/>
        </w:rPr>
        <w:t>Water System Name: Kelly Mutual Water Company</w:t>
      </w:r>
    </w:p>
    <w:p>
      <w:pPr>
        <w:pStyle w:val="Normal"/>
        <w:spacing w:before="0" w:after="240"/>
        <w:rPr>
          <w:rFonts w:ascii="Arial" w:hAnsi="Arial" w:cs="Arial"/>
          <w:sz w:val="24"/>
          <w:szCs w:val="24"/>
        </w:rPr>
      </w:pPr>
      <w:r>
        <w:rPr>
          <w:rFonts w:cs="Arial" w:ascii="Arial" w:hAnsi="Arial"/>
          <w:sz w:val="24"/>
          <w:szCs w:val="24"/>
        </w:rPr>
        <w:t>Report Date: [Aug 22 2022</w:t>
      </w:r>
    </w:p>
    <w:p>
      <w:pPr>
        <w:pStyle w:val="Normal"/>
        <w:spacing w:before="0" w:after="240"/>
        <w:rPr>
          <w:rFonts w:ascii="Arial" w:hAnsi="Arial" w:cs="Arial"/>
          <w:sz w:val="24"/>
          <w:szCs w:val="24"/>
        </w:rPr>
      </w:pPr>
      <w:r>
        <w:rPr>
          <w:rFonts w:cs="Arial" w:ascii="Arial" w:hAnsi="Arial"/>
          <w:sz w:val="24"/>
          <w:szCs w:val="24"/>
        </w:rPr>
        <w:t xml:space="preserve">Type of Water Source(s) in Use: groundwater  </w:t>
      </w:r>
    </w:p>
    <w:p>
      <w:pPr>
        <w:pStyle w:val="Normal"/>
        <w:spacing w:before="0" w:after="240"/>
        <w:rPr>
          <w:rFonts w:ascii="Arial" w:hAnsi="Arial" w:cs="Arial"/>
          <w:sz w:val="24"/>
          <w:szCs w:val="24"/>
        </w:rPr>
      </w:pPr>
      <w:r>
        <w:rPr>
          <w:rFonts w:cs="Arial" w:ascii="Arial" w:hAnsi="Arial"/>
          <w:sz w:val="24"/>
          <w:szCs w:val="24"/>
        </w:rPr>
        <w:t>Name and General Location of Source(s): Kelly subdivision Well 01, well 02</w:t>
      </w:r>
    </w:p>
    <w:p>
      <w:pPr>
        <w:pStyle w:val="Normal"/>
        <w:spacing w:before="0" w:after="240"/>
        <w:rPr>
          <w:rFonts w:ascii="Arial" w:hAnsi="Arial" w:cs="Arial"/>
          <w:sz w:val="24"/>
          <w:szCs w:val="24"/>
        </w:rPr>
      </w:pPr>
      <w:r>
        <w:rPr>
          <w:rFonts w:cs="Arial" w:ascii="Arial" w:hAnsi="Arial"/>
          <w:sz w:val="24"/>
          <w:szCs w:val="24"/>
        </w:rPr>
        <w:t xml:space="preserve">Drinking Water Source Assessment Information: </w:t>
      </w:r>
      <w:r>
        <w:rPr>
          <w:rFonts w:cs="Arial" w:ascii="Arial" w:hAnsi="Arial"/>
          <w:sz w:val="24"/>
          <w:szCs w:val="24"/>
          <w:lang w:val="es-ES"/>
        </w:rPr>
        <w:t xml:space="preserve"> </w:t>
      </w:r>
      <w:r>
        <w:rPr>
          <w:rFonts w:cs="sans-serif;Arial" w:ascii="sans-serif;Arial" w:hAnsi="sans-serif;Arial"/>
          <w:sz w:val="27"/>
          <w:szCs w:val="24"/>
        </w:rPr>
        <w:t>Conducted January 2002 by Calif Dept of Health Services,reviewed Aug 20</w:t>
      </w:r>
      <w:r>
        <w:rPr>
          <w:rFonts w:cs="sans-serif;Arial" w:ascii="sans-serif;Arial" w:hAnsi="sans-serif;Arial"/>
          <w:sz w:val="27"/>
          <w:szCs w:val="24"/>
        </w:rPr>
        <w:t>22</w:t>
      </w:r>
      <w:r>
        <w:rPr>
          <w:rFonts w:cs="sans-serif;Arial" w:ascii="sans-serif;Arial" w:hAnsi="sans-serif;Arial"/>
          <w:sz w:val="27"/>
          <w:szCs w:val="24"/>
        </w:rPr>
        <w:t xml:space="preserve"> by Bernie Hovden The source is considered most vulnerable to the following activities not associated with any detected contaminants:</w:t>
      </w:r>
      <w:r>
        <w:rPr>
          <w:rFonts w:cs="serif" w:ascii="serif" w:hAnsi="serif"/>
          <w:sz w:val="27"/>
          <w:szCs w:val="24"/>
        </w:rPr>
        <w:t>Junk/scrap/salvage yards Lumber processing and manufacturing Machine shops Sewer collection systems</w:t>
      </w:r>
      <w:r>
        <w:rPr>
          <w:rFonts w:cs="Arial" w:ascii="Arial" w:hAnsi="Arial"/>
          <w:sz w:val="24"/>
          <w:szCs w:val="24"/>
        </w:rPr>
        <w:t xml:space="preserve"> </w:t>
      </w:r>
      <w:r>
        <w:rPr>
          <w:rFonts w:cs="serif" w:ascii="serif" w:hAnsi="serif"/>
          <w:sz w:val="27"/>
          <w:szCs w:val="24"/>
        </w:rPr>
        <w:t>There have been no contaminants detected in the water supply, however the source is still considered vulnerable to activities located near the drinking water source.</w:t>
      </w:r>
      <w:r>
        <w:rPr>
          <w:rFonts w:cs="Arial" w:ascii="Arial" w:hAnsi="Arial"/>
          <w:sz w:val="24"/>
          <w:szCs w:val="24"/>
        </w:rPr>
        <w:t xml:space="preserve"> </w:t>
      </w:r>
    </w:p>
    <w:p>
      <w:pPr>
        <w:pStyle w:val="Normal"/>
        <w:spacing w:before="0" w:after="240"/>
        <w:rPr>
          <w:rFonts w:ascii="Arial" w:hAnsi="Arial" w:cs="Arial"/>
          <w:sz w:val="24"/>
          <w:szCs w:val="24"/>
        </w:rPr>
      </w:pPr>
      <w:r>
        <w:rPr>
          <w:rFonts w:cs="Arial" w:ascii="Arial" w:hAnsi="Arial"/>
          <w:sz w:val="24"/>
          <w:szCs w:val="24"/>
        </w:rPr>
        <w:t xml:space="preserve">Time and Place of Regularly Scheduled Board Meetings for Public Participation: </w:t>
      </w:r>
      <w:r>
        <w:rPr>
          <w:rFonts w:cs="serif" w:ascii="serif" w:hAnsi="serif"/>
          <w:sz w:val="27"/>
          <w:szCs w:val="24"/>
          <w:lang w:val="es-ES"/>
        </w:rPr>
        <w:t>Jan, Apr, July, Oct in the neighborhood. Contact a board member for details. Meeting notice with agenda posted at entrance to neighborhood prior to meeting</w:t>
      </w:r>
      <w:r>
        <w:rPr>
          <w:rFonts w:cs="Arial" w:ascii="Arial" w:hAnsi="Arial"/>
          <w:sz w:val="24"/>
          <w:szCs w:val="24"/>
          <w:lang w:val="es-ES"/>
        </w:rPr>
        <w:t xml:space="preserve"> </w:t>
      </w:r>
    </w:p>
    <w:p>
      <w:pPr>
        <w:pStyle w:val="Normal"/>
        <w:spacing w:before="0" w:after="240"/>
        <w:rPr>
          <w:rFonts w:ascii="Arial" w:hAnsi="Arial" w:cs="Arial"/>
          <w:sz w:val="24"/>
          <w:szCs w:val="24"/>
        </w:rPr>
      </w:pPr>
      <w:r>
        <w:rPr>
          <w:rFonts w:cs="Arial" w:ascii="Arial" w:hAnsi="Arial"/>
          <w:sz w:val="24"/>
          <w:szCs w:val="24"/>
          <w:lang w:val="es-ES"/>
        </w:rPr>
        <w:t>For More Information, Contact: Bernie Hovden  707-829-3824</w:t>
      </w:r>
    </w:p>
    <w:p>
      <w:pPr>
        <w:pStyle w:val="Heading2"/>
        <w:rPr/>
      </w:pPr>
      <w:bookmarkStart w:id="2" w:name="_Toc58336714"/>
      <w:r>
        <w:rPr/>
        <w:t>About This Report</w:t>
      </w:r>
      <w:bookmarkEnd w:id="2"/>
    </w:p>
    <w:p>
      <w:pPr>
        <w:pStyle w:val="Normal"/>
        <w:rPr>
          <w:rFonts w:ascii="Arial" w:hAnsi="Arial" w:cs="Arial"/>
          <w:sz w:val="24"/>
          <w:szCs w:val="24"/>
        </w:rPr>
      </w:pPr>
      <w:r>
        <w:rPr>
          <w:rFonts w:cs="Arial" w:ascii="Arial" w:hAnsi="Arial"/>
          <w:sz w:val="24"/>
          <w:szCs w:val="24"/>
        </w:rPr>
        <w:t xml:space="preserve">We test the drinking water quality for many constituents as required by state and federal regulations.  This report shows the results of our monitoring for the period of January 1 to December 31, </w:t>
      </w:r>
      <w:r>
        <w:rPr>
          <w:rFonts w:cs="Arial" w:ascii="Arial" w:hAnsi="Arial"/>
          <w:sz w:val="24"/>
          <w:szCs w:val="24"/>
          <w:highlight w:val="yellow"/>
        </w:rPr>
        <w:t>2021</w:t>
      </w:r>
      <w:r>
        <w:rPr>
          <w:rFonts w:cs="Arial" w:ascii="Arial" w:hAnsi="Arial"/>
          <w:sz w:val="24"/>
          <w:szCs w:val="24"/>
        </w:rPr>
        <w:t xml:space="preserve"> and may include earlier monitoring data.</w:t>
      </w:r>
    </w:p>
    <w:p>
      <w:pPr>
        <w:pStyle w:val="Heading2"/>
        <w:rPr/>
      </w:pPr>
      <w:r>
        <w:rPr/>
        <w:t>Importance of This Report Statement in Five Non-English Languages (Spanish, Mandarin, Tagalog, Vietnamese, and Hmong)</w:t>
      </w:r>
    </w:p>
    <w:p>
      <w:pPr>
        <w:pStyle w:val="Normal"/>
        <w:spacing w:before="0" w:after="180"/>
        <w:rPr>
          <w:rFonts w:ascii="Arial" w:hAnsi="Arial" w:cs="Arial"/>
          <w:sz w:val="24"/>
          <w:szCs w:val="24"/>
          <w:lang w:val="es-MX"/>
        </w:rPr>
      </w:pPr>
      <w:r>
        <w:rPr>
          <w:rFonts w:cs="Arial" w:ascii="Arial" w:hAnsi="Arial"/>
          <w:sz w:val="24"/>
          <w:szCs w:val="24"/>
          <w:lang w:val="es-MX"/>
        </w:rPr>
        <w:t>Language in Spanish:  Este informe contiene información muy importante sobre su agua para beber.  Favor de comunicarse Kelly Mutual Water Company 1430 industrial Ave Sebastopol 707-829-3824 asistirlo en español.</w:t>
      </w:r>
    </w:p>
    <w:p>
      <w:pPr>
        <w:pStyle w:val="Normal"/>
        <w:spacing w:before="0" w:after="180"/>
        <w:rPr>
          <w:rFonts w:ascii="Arial" w:hAnsi="Arial" w:eastAsia="PMingLiU" w:cs="Arial"/>
          <w:sz w:val="24"/>
          <w:szCs w:val="24"/>
        </w:rPr>
      </w:pPr>
      <w:r>
        <w:rPr>
          <w:rFonts w:eastAsia="PMingLiU" w:cs="Arial" w:ascii="Arial" w:hAnsi="Arial"/>
          <w:sz w:val="24"/>
          <w:szCs w:val="24"/>
          <w:lang w:val="es-MX"/>
        </w:rPr>
        <w:t xml:space="preserve">Language in Mandarin:  </w:t>
      </w:r>
      <w:r>
        <w:rPr>
          <w:rFonts w:ascii="Arial" w:hAnsi="Arial" w:cs="Arial" w:eastAsia="PMingLiU"/>
          <w:sz w:val="24"/>
          <w:szCs w:val="24"/>
        </w:rPr>
        <w:t xml:space="preserve">这份报告含有关于您的饮用水的重要讯息。请用以下地址和电话联系 </w:t>
      </w:r>
      <w:r>
        <w:rPr>
          <w:rFonts w:eastAsia="PMingLiU" w:cs="Arial" w:ascii="Arial" w:hAnsi="Arial"/>
          <w:sz w:val="24"/>
          <w:szCs w:val="24"/>
        </w:rPr>
        <w:t>[Enter Water System Name]</w:t>
      </w:r>
      <w:r>
        <w:rPr>
          <w:rFonts w:ascii="Arial" w:hAnsi="Arial" w:cs="Arial" w:eastAsia="PMingLiU"/>
          <w:sz w:val="24"/>
          <w:szCs w:val="24"/>
        </w:rPr>
        <w:t>以获得中文的帮助</w:t>
      </w:r>
      <w:r>
        <w:rPr>
          <w:rFonts w:eastAsia="PMingLiU" w:cs="Arial" w:ascii="Arial" w:hAnsi="Arial"/>
          <w:sz w:val="24"/>
          <w:szCs w:val="24"/>
        </w:rPr>
        <w:t>: [Enter Water System’s Address][Enter Water System’s Phone Number].</w:t>
      </w:r>
    </w:p>
    <w:p>
      <w:pPr>
        <w:pStyle w:val="Normal"/>
        <w:spacing w:before="0" w:after="180"/>
        <w:rPr>
          <w:rFonts w:ascii="Arial" w:hAnsi="Arial" w:cs="Arial"/>
          <w:sz w:val="24"/>
          <w:szCs w:val="24"/>
        </w:rPr>
      </w:pPr>
      <w:r>
        <w:rPr>
          <w:rFonts w:cs="Arial" w:ascii="Arial" w:hAnsi="Arial"/>
          <w:sz w:val="24"/>
          <w:szCs w:val="24"/>
        </w:rPr>
        <w:t>Language in Tagalog: Ang pag-uulat na ito ay naglalaman ng mahalagang impormasyon tungkol sa inyong inuming tubig.  Mangyaring makipag-ugnayan sa [Enter Water System’s Name and Address] o tumawag sa [Enter Water System’s Phone Number] para matulungan sa wikang Tagalog.</w:t>
      </w:r>
    </w:p>
    <w:p>
      <w:pPr>
        <w:pStyle w:val="Normal"/>
        <w:spacing w:before="0" w:after="180"/>
        <w:rPr>
          <w:rFonts w:ascii="Arial" w:hAnsi="Arial" w:cs="Arial"/>
          <w:sz w:val="24"/>
          <w:szCs w:val="24"/>
        </w:rPr>
      </w:pPr>
      <w:r>
        <w:rPr>
          <w:rFonts w:cs="Arial" w:ascii="Arial" w:hAnsi="Arial"/>
          <w:sz w:val="24"/>
          <w:szCs w:val="24"/>
        </w:rPr>
        <w:t>Language in Vietnamese:  Báo cáo này chứa thông tin quan trọng về nước uống của bạn.  Xin vui lòng liên hệ [Enter</w:t>
      </w:r>
      <w:r>
        <w:rPr>
          <w:rFonts w:eastAsia="PMingLiU" w:cs="Arial" w:ascii="Arial" w:hAnsi="Arial"/>
          <w:sz w:val="24"/>
          <w:szCs w:val="24"/>
        </w:rPr>
        <w:t xml:space="preserve"> Water System’s Name</w:t>
      </w:r>
      <w:r>
        <w:rPr>
          <w:rFonts w:cs="Arial" w:ascii="Arial" w:hAnsi="Arial"/>
          <w:sz w:val="24"/>
          <w:szCs w:val="24"/>
        </w:rPr>
        <w:t>] tại [Enter Water System’s Address or Phone Number] để được hỗ trợ giúp bằng tiếng Việt.</w:t>
      </w:r>
    </w:p>
    <w:p>
      <w:pPr>
        <w:pStyle w:val="Normal"/>
        <w:spacing w:before="0" w:after="180"/>
        <w:rPr>
          <w:rFonts w:ascii="Arial" w:hAnsi="Arial" w:cs="Arial"/>
          <w:sz w:val="24"/>
          <w:szCs w:val="24"/>
        </w:rPr>
      </w:pPr>
      <w:r>
        <w:rPr>
          <w:rFonts w:cs="Arial" w:ascii="Arial" w:hAnsi="Arial"/>
          <w:sz w:val="24"/>
          <w:szCs w:val="24"/>
        </w:rPr>
        <w:t>Language in Hmong:  Tsab ntawv no muaj cov ntsiab lus tseem ceeb txog koj cov dej haus.  Thov hu rau [Enter</w:t>
      </w:r>
      <w:r>
        <w:rPr>
          <w:rFonts w:eastAsia="PMingLiU" w:cs="Arial" w:ascii="Arial" w:hAnsi="Arial"/>
          <w:sz w:val="24"/>
          <w:szCs w:val="24"/>
        </w:rPr>
        <w:t xml:space="preserve"> Water System’s Name</w:t>
      </w:r>
      <w:r>
        <w:rPr>
          <w:rFonts w:cs="Arial" w:ascii="Arial" w:hAnsi="Arial"/>
          <w:sz w:val="24"/>
          <w:szCs w:val="24"/>
        </w:rPr>
        <w:t>] ntawm [Enter Water System’s Address or Phone Number ] rau kev pab hauv lus Askiv.</w:t>
      </w:r>
    </w:p>
    <w:p>
      <w:pPr>
        <w:pStyle w:val="Heading2"/>
        <w:spacing w:before="0" w:after="40"/>
        <w:rPr/>
      </w:pPr>
      <w:bookmarkStart w:id="3" w:name="_Toc58336715"/>
      <w:r>
        <w:rPr/>
        <w:t>Terms Used in This Report</w:t>
      </w:r>
      <w:bookmarkEnd w:id="3"/>
    </w:p>
    <w:tbl>
      <w:tblPr>
        <w:tblStyle w:val="TableGrid"/>
        <w:tblW w:w="10790" w:type="dxa"/>
        <w:jc w:val="left"/>
        <w:tblInd w:w="0" w:type="dxa"/>
        <w:tblLayout w:type="fixed"/>
        <w:tblCellMar>
          <w:top w:w="43" w:type="dxa"/>
          <w:left w:w="108" w:type="dxa"/>
          <w:bottom w:w="43" w:type="dxa"/>
          <w:right w:w="108" w:type="dxa"/>
        </w:tblCellMar>
        <w:tblLook w:firstRow="1" w:noVBand="1" w:lastRow="0" w:firstColumn="1" w:lastColumn="0" w:noHBand="0" w:val="04a0"/>
      </w:tblPr>
      <w:tblGrid>
        <w:gridCol w:w="2695"/>
        <w:gridCol w:w="8094"/>
      </w:tblGrid>
      <w:tr>
        <w:trPr>
          <w:tblHeader w:val="true"/>
          <w:trHeight w:val="226" w:hRule="atLeast"/>
        </w:trPr>
        <w:tc>
          <w:tcPr>
            <w:tcW w:w="2695" w:type="dxa"/>
            <w:tcBorders/>
            <w:vAlign w:val="center"/>
          </w:tcPr>
          <w:p>
            <w:pPr>
              <w:pStyle w:val="Normal"/>
              <w:widowControl w:val="false"/>
              <w:suppressAutoHyphens w:val="true"/>
              <w:spacing w:before="0" w:after="0"/>
              <w:jc w:val="center"/>
              <w:rPr>
                <w:rFonts w:ascii="Arial" w:hAnsi="Arial" w:cs="Arial"/>
                <w:b/>
                <w:b/>
                <w:bCs/>
                <w:sz w:val="24"/>
                <w:szCs w:val="24"/>
              </w:rPr>
            </w:pPr>
            <w:r>
              <w:rPr>
                <w:rFonts w:eastAsia="Times New Roman" w:cs="Arial" w:ascii="Arial" w:hAnsi="Arial"/>
                <w:b/>
                <w:bCs/>
                <w:kern w:val="0"/>
                <w:sz w:val="24"/>
                <w:szCs w:val="24"/>
                <w:lang w:val="en-US" w:eastAsia="en-US" w:bidi="ar-SA"/>
              </w:rPr>
              <w:t>Term</w:t>
            </w:r>
          </w:p>
        </w:tc>
        <w:tc>
          <w:tcPr>
            <w:tcW w:w="8094" w:type="dxa"/>
            <w:tcBorders/>
            <w:vAlign w:val="center"/>
          </w:tcPr>
          <w:p>
            <w:pPr>
              <w:pStyle w:val="Normal"/>
              <w:widowControl w:val="false"/>
              <w:suppressAutoHyphens w:val="true"/>
              <w:spacing w:before="0" w:after="0"/>
              <w:jc w:val="center"/>
              <w:rPr>
                <w:rFonts w:ascii="Arial" w:hAnsi="Arial" w:cs="Arial"/>
                <w:b/>
                <w:b/>
                <w:bCs/>
                <w:sz w:val="24"/>
                <w:szCs w:val="24"/>
              </w:rPr>
            </w:pPr>
            <w:r>
              <w:rPr>
                <w:rFonts w:eastAsia="Times New Roman" w:cs="Arial" w:ascii="Arial" w:hAnsi="Arial"/>
                <w:b/>
                <w:bCs/>
                <w:kern w:val="0"/>
                <w:sz w:val="24"/>
                <w:szCs w:val="24"/>
                <w:lang w:val="en-US" w:eastAsia="en-US" w:bidi="ar-SA"/>
              </w:rPr>
              <w:t>Definition</w:t>
            </w:r>
          </w:p>
        </w:tc>
      </w:tr>
      <w:tr>
        <w:trPr/>
        <w:tc>
          <w:tcPr>
            <w:tcW w:w="2695" w:type="dxa"/>
            <w:tcBorders/>
            <w:tcMar>
              <w:left w:w="58" w:type="dxa"/>
              <w:right w:w="86" w:type="dxa"/>
            </w:tcMar>
          </w:tcPr>
          <w:p>
            <w:pPr>
              <w:pStyle w:val="Normal"/>
              <w:widowControl w:val="false"/>
              <w:suppressAutoHyphens w:val="true"/>
              <w:spacing w:before="0" w:after="0"/>
              <w:jc w:val="left"/>
              <w:rPr>
                <w:rFonts w:eastAsia="Times New Roman"/>
                <w:kern w:val="0"/>
                <w:lang w:val="en-US" w:eastAsia="en-US" w:bidi="ar-SA"/>
              </w:rPr>
            </w:pPr>
            <w:r>
              <w:rPr>
                <w:rFonts w:eastAsia="Times New Roman" w:cs="Arial" w:ascii="Arial" w:hAnsi="Arial"/>
                <w:kern w:val="0"/>
                <w:sz w:val="24"/>
                <w:szCs w:val="24"/>
                <w:lang w:val="en-US" w:eastAsia="en-US" w:bidi="ar-SA"/>
              </w:rPr>
              <w:t>Level 1 Assessment</w:t>
            </w:r>
          </w:p>
        </w:tc>
        <w:tc>
          <w:tcPr>
            <w:tcW w:w="8094" w:type="dxa"/>
            <w:tcBorders/>
          </w:tcPr>
          <w:p>
            <w:pPr>
              <w:pStyle w:val="Normal"/>
              <w:widowControl w:val="false"/>
              <w:suppressAutoHyphens w:val="true"/>
              <w:spacing w:before="0" w:after="0"/>
              <w:jc w:val="left"/>
              <w:rPr>
                <w:rFonts w:eastAsia="Times New Roman"/>
                <w:kern w:val="0"/>
                <w:lang w:val="en-US" w:eastAsia="en-US" w:bidi="ar-SA"/>
              </w:rPr>
            </w:pPr>
            <w:r>
              <w:rPr>
                <w:rFonts w:eastAsia="Times New Roman" w:cs="Arial" w:ascii="Arial" w:hAnsi="Arial"/>
                <w:kern w:val="0"/>
                <w:sz w:val="24"/>
                <w:szCs w:val="24"/>
                <w:lang w:val="en-US" w:eastAsia="en-US" w:bidi="ar-SA"/>
              </w:rPr>
              <w:t>A Level 1 assessment is a study of the water system to identify potential problems and determine (if possible) why total coliform bacteria have been found in our water system.</w:t>
            </w:r>
          </w:p>
        </w:tc>
      </w:tr>
      <w:tr>
        <w:trPr/>
        <w:tc>
          <w:tcPr>
            <w:tcW w:w="2695" w:type="dxa"/>
            <w:tcBorders/>
            <w:tcMar>
              <w:left w:w="58" w:type="dxa"/>
              <w:right w:w="86" w:type="dxa"/>
            </w:tcMar>
          </w:tcPr>
          <w:p>
            <w:pPr>
              <w:pStyle w:val="Normal"/>
              <w:widowControl w:val="false"/>
              <w:suppressAutoHyphens w:val="true"/>
              <w:spacing w:before="0" w:after="0"/>
              <w:jc w:val="left"/>
              <w:rPr>
                <w:rFonts w:eastAsia="Times New Roman"/>
                <w:kern w:val="0"/>
                <w:lang w:val="en-US" w:eastAsia="en-US" w:bidi="ar-SA"/>
              </w:rPr>
            </w:pPr>
            <w:r>
              <w:rPr>
                <w:rFonts w:eastAsia="Times New Roman" w:cs="Arial" w:ascii="Arial" w:hAnsi="Arial"/>
                <w:kern w:val="0"/>
                <w:sz w:val="24"/>
                <w:szCs w:val="24"/>
                <w:lang w:val="en-US" w:eastAsia="en-US" w:bidi="ar-SA"/>
              </w:rPr>
              <w:t>Level 2 Assessment</w:t>
            </w:r>
          </w:p>
        </w:tc>
        <w:tc>
          <w:tcPr>
            <w:tcW w:w="8094" w:type="dxa"/>
            <w:tcBorders/>
          </w:tcPr>
          <w:p>
            <w:pPr>
              <w:pStyle w:val="Normal"/>
              <w:widowControl w:val="false"/>
              <w:suppressAutoHyphens w:val="true"/>
              <w:spacing w:before="0" w:after="0"/>
              <w:jc w:val="left"/>
              <w:rPr>
                <w:rFonts w:eastAsia="Times New Roman"/>
                <w:kern w:val="0"/>
                <w:lang w:val="en-US" w:eastAsia="en-US" w:bidi="ar-SA"/>
              </w:rPr>
            </w:pPr>
            <w:r>
              <w:rPr>
                <w:rFonts w:eastAsia="Times New Roman" w:cs="Arial" w:ascii="Arial" w:hAnsi="Arial"/>
                <w:kern w:val="0"/>
                <w:sz w:val="24"/>
                <w:szCs w:val="24"/>
                <w:lang w:val="en-US" w:eastAsia="en-US" w:bidi="ar-SA"/>
              </w:rPr>
              <w:t xml:space="preserve">A Level 2 assessment is a very detailed study of the water system to identify potential problems and determine (if possible) why an </w:t>
            </w:r>
            <w:r>
              <w:rPr>
                <w:rFonts w:eastAsia="Times New Roman" w:cs="Arial" w:ascii="Arial" w:hAnsi="Arial"/>
                <w:i/>
                <w:kern w:val="0"/>
                <w:sz w:val="24"/>
                <w:szCs w:val="24"/>
                <w:lang w:val="en-US" w:eastAsia="en-US" w:bidi="ar-SA"/>
              </w:rPr>
              <w:t>E. coli</w:t>
            </w:r>
            <w:r>
              <w:rPr>
                <w:rFonts w:eastAsia="Times New Roman" w:cs="Arial" w:ascii="Arial" w:hAnsi="Arial"/>
                <w:kern w:val="0"/>
                <w:sz w:val="24"/>
                <w:szCs w:val="24"/>
                <w:lang w:val="en-US" w:eastAsia="en-US" w:bidi="ar-SA"/>
              </w:rPr>
              <w:t xml:space="preserve"> MCL violation has occurred and/or why total coliform bacteria have been found in our water system on multiple occasions.</w:t>
            </w:r>
          </w:p>
        </w:tc>
      </w:tr>
      <w:tr>
        <w:trPr/>
        <w:tc>
          <w:tcPr>
            <w:tcW w:w="2695" w:type="dxa"/>
            <w:tcBorders/>
            <w:tcMar>
              <w:left w:w="58" w:type="dxa"/>
              <w:right w:w="86" w:type="dxa"/>
            </w:tcMar>
          </w:tcPr>
          <w:p>
            <w:pPr>
              <w:pStyle w:val="Normal"/>
              <w:widowControl w:val="false"/>
              <w:suppressAutoHyphens w:val="true"/>
              <w:spacing w:before="0" w:after="0"/>
              <w:jc w:val="left"/>
              <w:rPr>
                <w:rFonts w:eastAsia="Times New Roman"/>
                <w:kern w:val="0"/>
                <w:lang w:val="en-US" w:eastAsia="en-US" w:bidi="ar-SA"/>
              </w:rPr>
            </w:pPr>
            <w:r>
              <w:rPr>
                <w:rFonts w:eastAsia="Times New Roman" w:cs="Arial" w:ascii="Arial" w:hAnsi="Arial"/>
                <w:kern w:val="0"/>
                <w:sz w:val="24"/>
                <w:szCs w:val="24"/>
                <w:lang w:val="en-US" w:eastAsia="en-US" w:bidi="ar-SA"/>
              </w:rPr>
              <w:t>Maximum Contaminant Level (MCL)</w:t>
            </w:r>
          </w:p>
        </w:tc>
        <w:tc>
          <w:tcPr>
            <w:tcW w:w="8094" w:type="dxa"/>
            <w:tcBorders/>
          </w:tcPr>
          <w:p>
            <w:pPr>
              <w:pStyle w:val="Normal"/>
              <w:widowControl w:val="false"/>
              <w:suppressAutoHyphens w:val="true"/>
              <w:spacing w:before="0" w:after="0"/>
              <w:jc w:val="left"/>
              <w:rPr>
                <w:rFonts w:eastAsia="Times New Roman"/>
                <w:kern w:val="0"/>
                <w:lang w:val="en-US" w:eastAsia="en-US" w:bidi="ar-SA"/>
              </w:rPr>
            </w:pPr>
            <w:r>
              <w:rPr>
                <w:rFonts w:eastAsia="Times New Roman" w:cs="Arial" w:ascii="Arial" w:hAnsi="Arial"/>
                <w:kern w:val="0"/>
                <w:sz w:val="24"/>
                <w:szCs w:val="24"/>
                <w:lang w:val="en-US" w:eastAsia="en-US" w:bidi="ar-SA"/>
              </w:rPr>
              <w:t>The highest level of a contaminant that is allowed in drinking water.  Primary MCLs are set as close to the PHGs (or MCLGs) as is economically and technologically feasible.  Secondary MCLs are set to protect the odor, taste, and appearance of drinking water.</w:t>
            </w:r>
          </w:p>
        </w:tc>
      </w:tr>
      <w:tr>
        <w:trPr/>
        <w:tc>
          <w:tcPr>
            <w:tcW w:w="2695" w:type="dxa"/>
            <w:tcBorders/>
            <w:tcMar>
              <w:left w:w="58" w:type="dxa"/>
              <w:right w:w="86" w:type="dxa"/>
            </w:tcMar>
          </w:tcPr>
          <w:p>
            <w:pPr>
              <w:pStyle w:val="Normal"/>
              <w:widowControl w:val="false"/>
              <w:suppressAutoHyphens w:val="true"/>
              <w:spacing w:before="0" w:after="0"/>
              <w:jc w:val="left"/>
              <w:rPr>
                <w:rFonts w:eastAsia="Times New Roman"/>
                <w:kern w:val="0"/>
                <w:lang w:val="en-US" w:eastAsia="en-US" w:bidi="ar-SA"/>
              </w:rPr>
            </w:pPr>
            <w:r>
              <w:rPr>
                <w:rFonts w:eastAsia="Times New Roman" w:cs="Arial" w:ascii="Arial" w:hAnsi="Arial"/>
                <w:kern w:val="0"/>
                <w:sz w:val="24"/>
                <w:szCs w:val="24"/>
                <w:lang w:val="en-US" w:eastAsia="en-US" w:bidi="ar-SA"/>
              </w:rPr>
              <w:t>Maximum Contaminant Level Goal (MCLG)</w:t>
            </w:r>
          </w:p>
        </w:tc>
        <w:tc>
          <w:tcPr>
            <w:tcW w:w="8094" w:type="dxa"/>
            <w:tcBorders/>
          </w:tcPr>
          <w:p>
            <w:pPr>
              <w:pStyle w:val="Normal"/>
              <w:widowControl w:val="false"/>
              <w:suppressAutoHyphens w:val="true"/>
              <w:spacing w:before="0" w:after="0"/>
              <w:jc w:val="left"/>
              <w:rPr>
                <w:rFonts w:eastAsia="Times New Roman"/>
                <w:kern w:val="0"/>
                <w:lang w:val="en-US" w:eastAsia="en-US" w:bidi="ar-SA"/>
              </w:rPr>
            </w:pPr>
            <w:r>
              <w:rPr>
                <w:rFonts w:eastAsia="Times New Roman" w:cs="Arial" w:ascii="Arial" w:hAnsi="Arial"/>
                <w:kern w:val="0"/>
                <w:sz w:val="24"/>
                <w:szCs w:val="24"/>
                <w:lang w:val="en-US" w:eastAsia="en-US" w:bidi="ar-SA"/>
              </w:rPr>
              <w:t>The level of a contaminant in drinking water below which there is no known or expected risk to health.  MCLGs are set by the U.S. Environmental Protection Agency (U.S. EPA).</w:t>
            </w:r>
          </w:p>
        </w:tc>
      </w:tr>
      <w:tr>
        <w:trPr/>
        <w:tc>
          <w:tcPr>
            <w:tcW w:w="2695" w:type="dxa"/>
            <w:tcBorders/>
            <w:tcMar>
              <w:left w:w="58" w:type="dxa"/>
              <w:right w:w="86" w:type="dxa"/>
            </w:tcMar>
          </w:tcPr>
          <w:p>
            <w:pPr>
              <w:pStyle w:val="Normal"/>
              <w:widowControl w:val="false"/>
              <w:suppressAutoHyphens w:val="true"/>
              <w:spacing w:before="0" w:after="0"/>
              <w:jc w:val="left"/>
              <w:rPr>
                <w:rFonts w:eastAsia="Times New Roman"/>
                <w:kern w:val="0"/>
                <w:lang w:val="en-US" w:eastAsia="en-US" w:bidi="ar-SA"/>
              </w:rPr>
            </w:pPr>
            <w:r>
              <w:rPr>
                <w:rFonts w:eastAsia="Times New Roman" w:cs="Arial" w:ascii="Arial" w:hAnsi="Arial"/>
                <w:kern w:val="0"/>
                <w:sz w:val="24"/>
                <w:szCs w:val="24"/>
                <w:lang w:val="en-US" w:eastAsia="en-US" w:bidi="ar-SA"/>
              </w:rPr>
              <w:t>Maximum Residual Disinfectant Level (MRDL)</w:t>
            </w:r>
          </w:p>
        </w:tc>
        <w:tc>
          <w:tcPr>
            <w:tcW w:w="8094" w:type="dxa"/>
            <w:tcBorders/>
          </w:tcPr>
          <w:p>
            <w:pPr>
              <w:pStyle w:val="Normal"/>
              <w:widowControl w:val="false"/>
              <w:suppressAutoHyphens w:val="true"/>
              <w:spacing w:before="0" w:after="0"/>
              <w:jc w:val="left"/>
              <w:rPr>
                <w:rFonts w:eastAsia="Times New Roman"/>
                <w:kern w:val="0"/>
                <w:lang w:val="en-US" w:eastAsia="en-US" w:bidi="ar-SA"/>
              </w:rPr>
            </w:pPr>
            <w:r>
              <w:rPr>
                <w:rFonts w:eastAsia="Times New Roman" w:cs="Arial" w:ascii="Arial" w:hAnsi="Arial"/>
                <w:kern w:val="0"/>
                <w:sz w:val="24"/>
                <w:szCs w:val="24"/>
                <w:lang w:val="en-US" w:eastAsia="en-US" w:bidi="ar-SA"/>
              </w:rPr>
              <w:t>The highest level of a disinfectant allowed in drinking water.  There is convincing evidence that addition of a disinfectant is necessary for control of microbial contaminants.</w:t>
            </w:r>
          </w:p>
        </w:tc>
      </w:tr>
      <w:tr>
        <w:trPr/>
        <w:tc>
          <w:tcPr>
            <w:tcW w:w="2695" w:type="dxa"/>
            <w:tcBorders/>
            <w:tcMar>
              <w:left w:w="58" w:type="dxa"/>
              <w:right w:w="86" w:type="dxa"/>
            </w:tcMar>
          </w:tcPr>
          <w:p>
            <w:pPr>
              <w:pStyle w:val="Normal"/>
              <w:widowControl w:val="false"/>
              <w:suppressAutoHyphens w:val="true"/>
              <w:spacing w:before="0" w:after="0"/>
              <w:jc w:val="left"/>
              <w:rPr>
                <w:rFonts w:eastAsia="Times New Roman"/>
                <w:kern w:val="0"/>
                <w:lang w:val="en-US" w:eastAsia="en-US" w:bidi="ar-SA"/>
              </w:rPr>
            </w:pPr>
            <w:r>
              <w:rPr>
                <w:rFonts w:eastAsia="Times New Roman" w:cs="Arial" w:ascii="Arial" w:hAnsi="Arial"/>
                <w:kern w:val="0"/>
                <w:sz w:val="24"/>
                <w:szCs w:val="24"/>
                <w:lang w:val="en-US" w:eastAsia="en-US" w:bidi="ar-SA"/>
              </w:rPr>
              <w:t>Maximum Residual Disinfectant Level Goal (MRDLG)</w:t>
            </w:r>
          </w:p>
        </w:tc>
        <w:tc>
          <w:tcPr>
            <w:tcW w:w="8094" w:type="dxa"/>
            <w:tcBorders/>
          </w:tcPr>
          <w:p>
            <w:pPr>
              <w:pStyle w:val="Normal"/>
              <w:widowControl w:val="false"/>
              <w:suppressAutoHyphens w:val="true"/>
              <w:spacing w:before="0" w:after="0"/>
              <w:jc w:val="left"/>
              <w:rPr>
                <w:rFonts w:eastAsia="Times New Roman"/>
                <w:kern w:val="0"/>
                <w:lang w:val="en-US" w:eastAsia="en-US" w:bidi="ar-SA"/>
              </w:rPr>
            </w:pPr>
            <w:r>
              <w:rPr>
                <w:rFonts w:eastAsia="Times New Roman" w:cs="Arial" w:ascii="Arial" w:hAnsi="Arial"/>
                <w:kern w:val="0"/>
                <w:sz w:val="24"/>
                <w:szCs w:val="24"/>
                <w:lang w:val="en-US" w:eastAsia="en-US" w:bidi="ar-SA"/>
              </w:rPr>
              <w:t>The level of a drinking water disinfectant below which there is no known or expected risk to health.  MRDLGs do not reflect the benefits of the use of disinfectants to control microbial contaminants.</w:t>
            </w:r>
          </w:p>
        </w:tc>
      </w:tr>
      <w:tr>
        <w:trPr/>
        <w:tc>
          <w:tcPr>
            <w:tcW w:w="2695" w:type="dxa"/>
            <w:tcBorders/>
            <w:tcMar>
              <w:left w:w="58" w:type="dxa"/>
              <w:right w:w="86" w:type="dxa"/>
            </w:tcMar>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Primary Drinking Water Standards (PDWS)</w:t>
            </w:r>
          </w:p>
        </w:tc>
        <w:tc>
          <w:tcPr>
            <w:tcW w:w="8094" w:type="dxa"/>
            <w:tcBorders/>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MCLs and MRDLs for contaminants that affect health along with their monitoring and reporting requirements, and water treatment requirements.</w:t>
            </w:r>
          </w:p>
        </w:tc>
      </w:tr>
      <w:tr>
        <w:trPr/>
        <w:tc>
          <w:tcPr>
            <w:tcW w:w="2695" w:type="dxa"/>
            <w:tcBorders/>
            <w:tcMar>
              <w:left w:w="58" w:type="dxa"/>
              <w:right w:w="86" w:type="dxa"/>
            </w:tcMar>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Public Health Goal</w:t>
            </w:r>
          </w:p>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(PHG)</w:t>
            </w:r>
          </w:p>
        </w:tc>
        <w:tc>
          <w:tcPr>
            <w:tcW w:w="8094" w:type="dxa"/>
            <w:tcBorders/>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The level of a contaminant in drinking water below which there is no known or expected risk to health.  PHGs are set by the California Environmental Protection Agency.</w:t>
            </w:r>
          </w:p>
        </w:tc>
      </w:tr>
      <w:tr>
        <w:trPr/>
        <w:tc>
          <w:tcPr>
            <w:tcW w:w="2695" w:type="dxa"/>
            <w:tcBorders/>
            <w:tcMar>
              <w:left w:w="58" w:type="dxa"/>
              <w:right w:w="86" w:type="dxa"/>
            </w:tcMar>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Regulatory Action Level</w:t>
            </w:r>
          </w:p>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(AL)</w:t>
            </w:r>
          </w:p>
        </w:tc>
        <w:tc>
          <w:tcPr>
            <w:tcW w:w="8094" w:type="dxa"/>
            <w:tcBorders/>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The concentration of a contaminant which, if exceeded, triggers treatment or other requirements that a water system must follow.</w:t>
            </w:r>
          </w:p>
        </w:tc>
      </w:tr>
      <w:tr>
        <w:trPr/>
        <w:tc>
          <w:tcPr>
            <w:tcW w:w="2695" w:type="dxa"/>
            <w:tcBorders/>
            <w:tcMar>
              <w:left w:w="58" w:type="dxa"/>
              <w:right w:w="86" w:type="dxa"/>
            </w:tcMar>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Secondary Drinking Water Standards (SDWS)</w:t>
            </w:r>
          </w:p>
        </w:tc>
        <w:tc>
          <w:tcPr>
            <w:tcW w:w="8094" w:type="dxa"/>
            <w:tcBorders/>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MCLs for contaminants that affect taste, odor, or appearance of the drinking water.  Contaminants with SDWSs do not affect the health at the MCL levels.</w:t>
            </w:r>
          </w:p>
        </w:tc>
      </w:tr>
      <w:tr>
        <w:trPr/>
        <w:tc>
          <w:tcPr>
            <w:tcW w:w="2695" w:type="dxa"/>
            <w:tcBorders/>
            <w:tcMar>
              <w:left w:w="58" w:type="dxa"/>
              <w:right w:w="86" w:type="dxa"/>
            </w:tcMar>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Treatment Technique</w:t>
            </w:r>
          </w:p>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(TT)</w:t>
            </w:r>
          </w:p>
        </w:tc>
        <w:tc>
          <w:tcPr>
            <w:tcW w:w="8094" w:type="dxa"/>
            <w:tcBorders/>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A required process intended to reduce the level of a contaminant in drinking water.</w:t>
            </w:r>
          </w:p>
        </w:tc>
      </w:tr>
      <w:tr>
        <w:trPr/>
        <w:tc>
          <w:tcPr>
            <w:tcW w:w="2695" w:type="dxa"/>
            <w:tcBorders/>
            <w:tcMar>
              <w:left w:w="58" w:type="dxa"/>
              <w:right w:w="86" w:type="dxa"/>
            </w:tcMar>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Variances and Exemptions</w:t>
            </w:r>
          </w:p>
        </w:tc>
        <w:tc>
          <w:tcPr>
            <w:tcW w:w="8094" w:type="dxa"/>
            <w:tcBorders/>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Permissions from the State Water Resources Control Board (State Board) to exceed an MCL or not comply with a treatment technique under certain conditions.</w:t>
            </w:r>
          </w:p>
        </w:tc>
      </w:tr>
      <w:tr>
        <w:trPr/>
        <w:tc>
          <w:tcPr>
            <w:tcW w:w="2695" w:type="dxa"/>
            <w:tcBorders/>
            <w:tcMar>
              <w:left w:w="58" w:type="dxa"/>
              <w:right w:w="86" w:type="dxa"/>
            </w:tcMar>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ND</w:t>
            </w:r>
          </w:p>
        </w:tc>
        <w:tc>
          <w:tcPr>
            <w:tcW w:w="8094" w:type="dxa"/>
            <w:tcBorders/>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Not detectable at testing limit.</w:t>
            </w:r>
          </w:p>
        </w:tc>
      </w:tr>
      <w:tr>
        <w:trPr/>
        <w:tc>
          <w:tcPr>
            <w:tcW w:w="2695" w:type="dxa"/>
            <w:tcBorders/>
            <w:tcMar>
              <w:left w:w="58" w:type="dxa"/>
              <w:right w:w="86" w:type="dxa"/>
            </w:tcMar>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ppm</w:t>
            </w:r>
          </w:p>
        </w:tc>
        <w:tc>
          <w:tcPr>
            <w:tcW w:w="8094" w:type="dxa"/>
            <w:tcBorders/>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parts per million or milligrams per liter (mg/L)</w:t>
            </w:r>
          </w:p>
        </w:tc>
      </w:tr>
      <w:tr>
        <w:trPr/>
        <w:tc>
          <w:tcPr>
            <w:tcW w:w="2695" w:type="dxa"/>
            <w:tcBorders/>
            <w:tcMar>
              <w:left w:w="58" w:type="dxa"/>
              <w:right w:w="86" w:type="dxa"/>
            </w:tcMar>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ppb</w:t>
            </w:r>
          </w:p>
        </w:tc>
        <w:tc>
          <w:tcPr>
            <w:tcW w:w="8094" w:type="dxa"/>
            <w:tcBorders/>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parts per billion or micrograms per liter (µg/L)</w:t>
            </w:r>
          </w:p>
        </w:tc>
      </w:tr>
      <w:tr>
        <w:trPr/>
        <w:tc>
          <w:tcPr>
            <w:tcW w:w="2695" w:type="dxa"/>
            <w:tcBorders/>
            <w:tcMar>
              <w:left w:w="58" w:type="dxa"/>
              <w:right w:w="86" w:type="dxa"/>
            </w:tcMar>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ppt</w:t>
            </w:r>
          </w:p>
        </w:tc>
        <w:tc>
          <w:tcPr>
            <w:tcW w:w="8094" w:type="dxa"/>
            <w:tcBorders/>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parts per trillion or nanograms per liter (ng/L)</w:t>
            </w:r>
          </w:p>
        </w:tc>
      </w:tr>
      <w:tr>
        <w:trPr/>
        <w:tc>
          <w:tcPr>
            <w:tcW w:w="2695" w:type="dxa"/>
            <w:tcBorders/>
            <w:tcMar>
              <w:left w:w="58" w:type="dxa"/>
              <w:right w:w="86" w:type="dxa"/>
            </w:tcMar>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ppq</w:t>
            </w:r>
          </w:p>
        </w:tc>
        <w:tc>
          <w:tcPr>
            <w:tcW w:w="8094" w:type="dxa"/>
            <w:tcBorders/>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parts per quadrillion or picogram per liter (pg/L)</w:t>
            </w:r>
          </w:p>
        </w:tc>
      </w:tr>
      <w:tr>
        <w:trPr/>
        <w:tc>
          <w:tcPr>
            <w:tcW w:w="2695" w:type="dxa"/>
            <w:tcBorders/>
            <w:tcMar>
              <w:left w:w="58" w:type="dxa"/>
              <w:right w:w="86" w:type="dxa"/>
            </w:tcMar>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pCi/L</w:t>
            </w:r>
          </w:p>
        </w:tc>
        <w:tc>
          <w:tcPr>
            <w:tcW w:w="8094" w:type="dxa"/>
            <w:tcBorders/>
          </w:tcPr>
          <w:p>
            <w:pPr>
              <w:pStyle w:val="Normal"/>
              <w:widowControl w:val="false"/>
              <w:suppressAutoHyphens w:val="true"/>
              <w:spacing w:before="0" w:after="0"/>
              <w:jc w:val="left"/>
              <w:rPr>
                <w:rFonts w:ascii="Arial" w:hAnsi="Arial" w:cs="Arial"/>
                <w:sz w:val="24"/>
                <w:szCs w:val="24"/>
              </w:rPr>
            </w:pPr>
            <w:r>
              <w:rPr>
                <w:rFonts w:eastAsia="Times New Roman" w:cs="Arial" w:ascii="Arial" w:hAnsi="Arial"/>
                <w:kern w:val="0"/>
                <w:sz w:val="24"/>
                <w:szCs w:val="24"/>
                <w:lang w:val="en-US" w:eastAsia="en-US" w:bidi="ar-SA"/>
              </w:rPr>
              <w:t>picocuries per liter (a measure of radiation)</w:t>
            </w:r>
          </w:p>
        </w:tc>
      </w:tr>
    </w:tbl>
    <w:p>
      <w:pPr>
        <w:pStyle w:val="Heading2"/>
        <w:rPr/>
      </w:pPr>
      <w:bookmarkStart w:id="4" w:name="_Toc58336716"/>
      <w:r>
        <w:rPr/>
        <w:t>Sources of Drinking Water and Contaminants that May Be Present in Source Water</w:t>
      </w:r>
      <w:bookmarkEnd w:id="4"/>
    </w:p>
    <w:p>
      <w:pPr>
        <w:pStyle w:val="Normal"/>
        <w:spacing w:before="0" w:after="240"/>
        <w:rPr>
          <w:rFonts w:ascii="Arial" w:hAnsi="Arial" w:cs="Arial"/>
          <w:sz w:val="24"/>
          <w:szCs w:val="24"/>
        </w:rPr>
      </w:pPr>
      <w:r>
        <w:rPr>
          <w:rFonts w:cs="Arial" w:ascii="Arial" w:hAnsi="Arial"/>
          <w:bCs/>
          <w:sz w:val="24"/>
          <w:szCs w:val="24"/>
        </w:rPr>
        <w:t>The sources of drinking water (</w:t>
      </w:r>
      <w:r>
        <w:rPr>
          <w:rFonts w:cs="Arial" w:ascii="Arial" w:hAnsi="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pPr>
        <w:pStyle w:val="Normal"/>
        <w:spacing w:before="0" w:after="240"/>
        <w:rPr>
          <w:rFonts w:ascii="Arial" w:hAnsi="Arial" w:cs="Arial"/>
          <w:bCs/>
          <w:sz w:val="24"/>
          <w:szCs w:val="24"/>
        </w:rPr>
      </w:pPr>
      <w:r>
        <w:rPr>
          <w:rFonts w:cs="Arial" w:ascii="Arial" w:hAnsi="Arial"/>
          <w:bCs/>
          <w:sz w:val="24"/>
          <w:szCs w:val="24"/>
        </w:rPr>
        <w:t>Contaminants that may be present in source water include:</w:t>
      </w:r>
    </w:p>
    <w:p>
      <w:pPr>
        <w:pStyle w:val="ListParagraph"/>
        <w:numPr>
          <w:ilvl w:val="0"/>
          <w:numId w:val="1"/>
        </w:numPr>
        <w:spacing w:before="0" w:after="240"/>
        <w:rPr/>
      </w:pPr>
      <w:r>
        <w:rPr/>
        <w:t>Microbial contaminants, such as viruses and bacteria, that may come from sewage treatment plants, septic systems, agricultural livestock operations, and wildlife.</w:t>
      </w:r>
    </w:p>
    <w:p>
      <w:pPr>
        <w:pStyle w:val="ListParagraph"/>
        <w:numPr>
          <w:ilvl w:val="0"/>
          <w:numId w:val="1"/>
        </w:numPr>
        <w:spacing w:before="0" w:after="240"/>
        <w:rPr/>
      </w:pPr>
      <w:r>
        <w:rPr/>
        <w:t>Inorganic contaminants, such as salts and metals, that can be naturally-occurring or result from urban stormwater runoff, industrial or domestic wastewater discharges, oil and gas production, mining, or farming.</w:t>
      </w:r>
    </w:p>
    <w:p>
      <w:pPr>
        <w:pStyle w:val="ListParagraph"/>
        <w:numPr>
          <w:ilvl w:val="0"/>
          <w:numId w:val="1"/>
        </w:numPr>
        <w:spacing w:before="0" w:after="240"/>
        <w:rPr/>
      </w:pPr>
      <w:r>
        <w:rPr/>
        <w:t>Pesticides and herbicides, that may come from a variety of sources such as agriculture, urban stormwater runoff, and residential uses.</w:t>
      </w:r>
    </w:p>
    <w:p>
      <w:pPr>
        <w:pStyle w:val="ListParagraph"/>
        <w:numPr>
          <w:ilvl w:val="0"/>
          <w:numId w:val="1"/>
        </w:numPr>
        <w:spacing w:before="0" w:after="240"/>
        <w:rPr/>
      </w:pPr>
      <w:r>
        <w:rPr/>
        <w:t>Organic chemical contaminants, including synthetic and volatile organic chemicals, that are byproducts of industrial processes and petroleum production, and can also come from gas stations, urban stormwater runoff, agricultural application, and septic systems.</w:t>
      </w:r>
    </w:p>
    <w:p>
      <w:pPr>
        <w:pStyle w:val="ListParagraph"/>
        <w:numPr>
          <w:ilvl w:val="0"/>
          <w:numId w:val="1"/>
        </w:numPr>
        <w:spacing w:before="0" w:after="0"/>
        <w:rPr/>
      </w:pPr>
      <w:r>
        <w:rPr/>
        <w:t>Radioactive contaminants, that can be naturally-occurring or be the result of oil and gas production and mining activities.</w:t>
      </w:r>
    </w:p>
    <w:p>
      <w:pPr>
        <w:pStyle w:val="Heading2"/>
        <w:rPr/>
      </w:pPr>
      <w:r>
        <w:rPr/>
        <w:t>Regulation of Drinking Water and Bottled Water Quality</w:t>
      </w:r>
    </w:p>
    <w:p>
      <w:pPr>
        <w:pStyle w:val="Normal"/>
        <w:rPr>
          <w:rFonts w:ascii="Arial" w:hAnsi="Arial" w:cs="Arial"/>
          <w:sz w:val="24"/>
          <w:szCs w:val="24"/>
        </w:rPr>
      </w:pPr>
      <w:r>
        <w:rPr>
          <w:rFonts w:cs="Arial" w:ascii="Arial" w:hAnsi="Arial"/>
          <w:bCs/>
          <w:sz w:val="24"/>
          <w:szCs w:val="24"/>
        </w:rPr>
        <w:t>In order to ensure that tap water is safe to drink,</w:t>
      </w:r>
      <w:r>
        <w:rPr>
          <w:rFonts w:cs="Arial" w:ascii="Arial" w:hAnsi="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pPr>
        <w:pStyle w:val="Heading2"/>
        <w:rPr/>
      </w:pPr>
      <w:bookmarkStart w:id="5" w:name="_Toc58336717"/>
      <w:r>
        <w:rPr/>
        <w:t>About Your Drinking Water Quality</w:t>
      </w:r>
      <w:bookmarkEnd w:id="5"/>
    </w:p>
    <w:p>
      <w:pPr>
        <w:pStyle w:val="Heading3"/>
        <w:spacing w:before="120" w:after="120"/>
        <w:rPr/>
      </w:pPr>
      <w:bookmarkStart w:id="6" w:name="_Toc58336718"/>
      <w:r>
        <w:rPr/>
        <w:t>Drinking Water Contaminants Detected</w:t>
      </w:r>
      <w:bookmarkEnd w:id="6"/>
    </w:p>
    <w:p>
      <w:pPr>
        <w:pStyle w:val="Normal"/>
        <w:rPr>
          <w:rFonts w:ascii="Arial" w:hAnsi="Arial" w:cs="Arial"/>
          <w:sz w:val="24"/>
          <w:szCs w:val="24"/>
        </w:rPr>
      </w:pPr>
      <w:r>
        <w:rPr>
          <w:rFonts w:cs="Arial" w:ascii="Arial" w:hAnsi="Arial"/>
          <w:bCs/>
          <w:sz w:val="24"/>
          <w:szCs w:val="24"/>
        </w:rPr>
        <w:t>Tables 1, 2, 3, 4, 5, 6, and 8 list all of the drinking water contaminants that were detected during the most recent sampling for the constituent.</w:t>
      </w:r>
      <w:r>
        <w:rPr>
          <w:rFonts w:cs="Arial" w:ascii="Arial" w:hAnsi="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bookmarkStart w:id="7" w:name="_Hlk57994699"/>
      <w:bookmarkEnd w:id="7"/>
    </w:p>
    <w:p>
      <w:pPr>
        <w:pStyle w:val="Caption1"/>
        <w:rPr/>
      </w:pPr>
      <w:r>
        <w:rPr>
          <w:highlight w:val="yellow"/>
        </w:rPr>
        <w:t xml:space="preserve">Table </w:t>
      </w:r>
      <w:r>
        <w:rPr>
          <w:highlight w:val="yellow"/>
        </w:rPr>
        <w:fldChar w:fldCharType="begin"/>
      </w:r>
      <w:r>
        <w:rPr>
          <w:highlight w:val="yellow"/>
        </w:rPr>
        <w:instrText> SEQ Table \* ARABIC </w:instrText>
      </w:r>
      <w:r>
        <w:rPr>
          <w:highlight w:val="yellow"/>
        </w:rPr>
        <w:fldChar w:fldCharType="separate"/>
      </w:r>
      <w:r>
        <w:rPr>
          <w:highlight w:val="yellow"/>
        </w:rPr>
        <w:t>1</w:t>
      </w:r>
      <w:r>
        <w:rPr>
          <w:highlight w:val="yellow"/>
        </w:rPr>
        <w:fldChar w:fldCharType="end"/>
      </w:r>
      <w:r>
        <w:rPr>
          <w:highlight w:val="yellow"/>
        </w:rPr>
        <w:t>.  Sampling Results Showing the Detection of Coliform Bacteria</w:t>
      </w:r>
    </w:p>
    <w:p>
      <w:pPr>
        <w:pStyle w:val="Normal"/>
        <w:keepNext w:val="true"/>
        <w:rPr>
          <w:rFonts w:ascii="Arial" w:hAnsi="Arial" w:cs="Arial"/>
          <w:sz w:val="24"/>
          <w:szCs w:val="24"/>
        </w:rPr>
      </w:pPr>
      <w:r>
        <w:rPr>
          <w:rFonts w:cs="Arial" w:ascii="Arial" w:hAnsi="Arial"/>
          <w:sz w:val="24"/>
          <w:szCs w:val="24"/>
          <w:highlight w:val="yellow"/>
        </w:rPr>
        <w:t>Complete if bacteria are detected.</w:t>
      </w:r>
    </w:p>
    <w:p>
      <w:pPr>
        <w:pStyle w:val="Normal"/>
        <w:keepNext w:val="true"/>
        <w:rPr/>
      </w:pPr>
      <w:r>
        <w:rPr/>
      </w:r>
    </w:p>
    <w:tbl>
      <w:tblPr>
        <w:tblStyle w:val="TableGrid"/>
        <w:tblW w:w="10796" w:type="dxa"/>
        <w:jc w:val="left"/>
        <w:tblInd w:w="0" w:type="dxa"/>
        <w:tblLayout w:type="fixed"/>
        <w:tblCellMar>
          <w:top w:w="0" w:type="dxa"/>
          <w:left w:w="108" w:type="dxa"/>
          <w:bottom w:w="0" w:type="dxa"/>
          <w:right w:w="108" w:type="dxa"/>
        </w:tblCellMar>
        <w:tblLook w:firstRow="1" w:noVBand="0" w:lastRow="0" w:firstColumn="0" w:lastColumn="0" w:noHBand="0" w:val="0020"/>
      </w:tblPr>
      <w:tblGrid>
        <w:gridCol w:w="2065"/>
        <w:gridCol w:w="1617"/>
        <w:gridCol w:w="1442"/>
        <w:gridCol w:w="2611"/>
        <w:gridCol w:w="990"/>
        <w:gridCol w:w="2070"/>
      </w:tblGrid>
      <w:tr>
        <w:trPr>
          <w:tblHeader w:val="true"/>
          <w:trHeight w:val="611" w:hRule="atLeast"/>
          <w:cantSplit w:val="true"/>
        </w:trPr>
        <w:tc>
          <w:tcPr>
            <w:tcW w:w="2065" w:type="dxa"/>
            <w:tcBorders/>
            <w:vAlign w:val="center"/>
          </w:tcPr>
          <w:p>
            <w:pPr>
              <w:pStyle w:val="Normal"/>
              <w:widowControl w:val="false"/>
              <w:suppressAutoHyphens w:val="true"/>
              <w:spacing w:before="40" w:after="40"/>
              <w:jc w:val="center"/>
              <w:rPr>
                <w:rFonts w:ascii="Arial" w:hAnsi="Arial" w:cs="Arial"/>
                <w:b/>
                <w:b/>
                <w:bCs/>
                <w:sz w:val="24"/>
                <w:szCs w:val="24"/>
                <w:highlight w:val="yellow"/>
              </w:rPr>
            </w:pPr>
            <w:r>
              <w:rPr>
                <w:rFonts w:eastAsia="Times New Roman" w:cs="Arial" w:ascii="Arial" w:hAnsi="Arial"/>
                <w:b/>
                <w:bCs/>
                <w:kern w:val="0"/>
                <w:sz w:val="24"/>
                <w:szCs w:val="24"/>
                <w:highlight w:val="yellow"/>
                <w:lang w:val="en-US" w:eastAsia="en-US" w:bidi="ar-SA"/>
              </w:rPr>
              <w:t xml:space="preserve">Microbiological Contaminants </w:t>
            </w:r>
          </w:p>
        </w:tc>
        <w:tc>
          <w:tcPr>
            <w:tcW w:w="1617" w:type="dxa"/>
            <w:tcBorders/>
            <w:vAlign w:val="center"/>
          </w:tcPr>
          <w:p>
            <w:pPr>
              <w:pStyle w:val="Normal"/>
              <w:widowControl w:val="false"/>
              <w:suppressAutoHyphens w:val="true"/>
              <w:spacing w:before="40" w:after="40"/>
              <w:jc w:val="center"/>
              <w:rPr>
                <w:rFonts w:ascii="Arial" w:hAnsi="Arial" w:cs="Arial"/>
                <w:b/>
                <w:b/>
                <w:bCs/>
                <w:sz w:val="24"/>
                <w:szCs w:val="24"/>
                <w:highlight w:val="yellow"/>
              </w:rPr>
            </w:pPr>
            <w:r>
              <w:rPr>
                <w:rFonts w:eastAsia="Times New Roman" w:cs="Arial" w:ascii="Arial" w:hAnsi="Arial"/>
                <w:b/>
                <w:bCs/>
                <w:kern w:val="0"/>
                <w:sz w:val="24"/>
                <w:szCs w:val="24"/>
                <w:highlight w:val="yellow"/>
                <w:lang w:val="en-US" w:eastAsia="en-US" w:bidi="ar-SA"/>
              </w:rPr>
              <w:t>Highest No. of Detections</w:t>
            </w:r>
          </w:p>
        </w:tc>
        <w:tc>
          <w:tcPr>
            <w:tcW w:w="1442" w:type="dxa"/>
            <w:tcBorders/>
            <w:vAlign w:val="center"/>
          </w:tcPr>
          <w:p>
            <w:pPr>
              <w:pStyle w:val="Normal"/>
              <w:widowControl w:val="false"/>
              <w:suppressAutoHyphens w:val="true"/>
              <w:spacing w:before="40" w:after="40"/>
              <w:jc w:val="center"/>
              <w:rPr>
                <w:rFonts w:ascii="Arial" w:hAnsi="Arial" w:cs="Arial"/>
                <w:b/>
                <w:b/>
                <w:bCs/>
                <w:sz w:val="24"/>
                <w:szCs w:val="24"/>
                <w:highlight w:val="yellow"/>
              </w:rPr>
            </w:pPr>
            <w:r>
              <w:rPr>
                <w:rFonts w:eastAsia="Times New Roman" w:cs="Arial" w:ascii="Arial" w:hAnsi="Arial"/>
                <w:b/>
                <w:bCs/>
                <w:kern w:val="0"/>
                <w:sz w:val="24"/>
                <w:szCs w:val="24"/>
                <w:highlight w:val="yellow"/>
                <w:lang w:val="en-US" w:eastAsia="en-US" w:bidi="ar-SA"/>
              </w:rPr>
              <w:t>No. of Months in Violation</w:t>
            </w:r>
          </w:p>
        </w:tc>
        <w:tc>
          <w:tcPr>
            <w:tcW w:w="2611" w:type="dxa"/>
            <w:tcBorders/>
            <w:vAlign w:val="center"/>
          </w:tcPr>
          <w:p>
            <w:pPr>
              <w:pStyle w:val="Normal"/>
              <w:widowControl w:val="false"/>
              <w:suppressAutoHyphens w:val="true"/>
              <w:spacing w:before="40" w:after="40"/>
              <w:jc w:val="center"/>
              <w:rPr>
                <w:rFonts w:ascii="Arial" w:hAnsi="Arial" w:cs="Arial"/>
                <w:b/>
                <w:b/>
                <w:bCs/>
                <w:sz w:val="24"/>
                <w:szCs w:val="24"/>
                <w:highlight w:val="yellow"/>
              </w:rPr>
            </w:pPr>
            <w:r>
              <w:rPr>
                <w:rFonts w:eastAsia="Times New Roman" w:cs="Arial" w:ascii="Arial" w:hAnsi="Arial"/>
                <w:b/>
                <w:bCs/>
                <w:kern w:val="0"/>
                <w:sz w:val="24"/>
                <w:szCs w:val="24"/>
                <w:highlight w:val="yellow"/>
                <w:lang w:val="en-US" w:eastAsia="en-US" w:bidi="ar-SA"/>
              </w:rPr>
              <w:t>MCL</w:t>
            </w:r>
          </w:p>
        </w:tc>
        <w:tc>
          <w:tcPr>
            <w:tcW w:w="990" w:type="dxa"/>
            <w:tcBorders/>
            <w:vAlign w:val="center"/>
          </w:tcPr>
          <w:p>
            <w:pPr>
              <w:pStyle w:val="Normal"/>
              <w:widowControl w:val="false"/>
              <w:suppressAutoHyphens w:val="true"/>
              <w:spacing w:before="40" w:after="40"/>
              <w:jc w:val="center"/>
              <w:rPr>
                <w:rFonts w:ascii="Arial" w:hAnsi="Arial" w:cs="Arial"/>
                <w:b/>
                <w:b/>
                <w:bCs/>
                <w:sz w:val="24"/>
                <w:szCs w:val="24"/>
                <w:highlight w:val="yellow"/>
              </w:rPr>
            </w:pPr>
            <w:r>
              <w:rPr>
                <w:rFonts w:eastAsia="Times New Roman" w:cs="Arial" w:ascii="Arial" w:hAnsi="Arial"/>
                <w:b/>
                <w:bCs/>
                <w:kern w:val="0"/>
                <w:sz w:val="24"/>
                <w:szCs w:val="24"/>
                <w:highlight w:val="yellow"/>
                <w:lang w:val="en-US" w:eastAsia="en-US" w:bidi="ar-SA"/>
              </w:rPr>
              <w:t>MCLG</w:t>
            </w:r>
          </w:p>
        </w:tc>
        <w:tc>
          <w:tcPr>
            <w:tcW w:w="2070" w:type="dxa"/>
            <w:tcBorders/>
            <w:vAlign w:val="center"/>
          </w:tcPr>
          <w:p>
            <w:pPr>
              <w:pStyle w:val="Normal"/>
              <w:widowControl w:val="false"/>
              <w:suppressAutoHyphens w:val="true"/>
              <w:spacing w:before="40" w:after="40"/>
              <w:jc w:val="center"/>
              <w:rPr>
                <w:rFonts w:ascii="Arial" w:hAnsi="Arial" w:cs="Arial"/>
                <w:b/>
                <w:b/>
                <w:bCs/>
                <w:sz w:val="24"/>
                <w:szCs w:val="24"/>
                <w:highlight w:val="yellow"/>
              </w:rPr>
            </w:pPr>
            <w:r>
              <w:rPr>
                <w:rFonts w:eastAsia="Times New Roman" w:cs="Arial" w:ascii="Arial" w:hAnsi="Arial"/>
                <w:b/>
                <w:bCs/>
                <w:kern w:val="0"/>
                <w:sz w:val="24"/>
                <w:szCs w:val="24"/>
                <w:highlight w:val="yellow"/>
                <w:lang w:val="en-US" w:eastAsia="en-US" w:bidi="ar-SA"/>
              </w:rPr>
              <w:t>Typical Source of Bacteria</w:t>
            </w:r>
          </w:p>
        </w:tc>
      </w:tr>
      <w:tr>
        <w:trPr/>
        <w:tc>
          <w:tcPr>
            <w:tcW w:w="2065" w:type="dxa"/>
            <w:tcBorders/>
          </w:tcPr>
          <w:p>
            <w:pPr>
              <w:pStyle w:val="Normal"/>
              <w:widowControl w:val="false"/>
              <w:suppressAutoHyphens w:val="true"/>
              <w:spacing w:before="40" w:after="40"/>
              <w:jc w:val="left"/>
              <w:rPr>
                <w:rFonts w:ascii="Arial" w:hAnsi="Arial" w:cs="Arial"/>
                <w:sz w:val="24"/>
                <w:szCs w:val="24"/>
                <w:highlight w:val="yellow"/>
              </w:rPr>
            </w:pPr>
            <w:r>
              <w:rPr>
                <w:rFonts w:eastAsia="Times New Roman" w:cs="Arial" w:ascii="Arial" w:hAnsi="Arial"/>
                <w:i/>
                <w:kern w:val="0"/>
                <w:sz w:val="24"/>
                <w:szCs w:val="24"/>
                <w:highlight w:val="yellow"/>
                <w:lang w:val="en-US" w:eastAsia="en-US" w:bidi="ar-SA"/>
              </w:rPr>
              <w:t>E. coli</w:t>
              <w:br/>
            </w:r>
          </w:p>
        </w:tc>
        <w:tc>
          <w:tcPr>
            <w:tcW w:w="1617" w:type="dxa"/>
            <w:tcBorders/>
          </w:tcPr>
          <w:p>
            <w:pPr>
              <w:pStyle w:val="Normal"/>
              <w:widowControl w:val="false"/>
              <w:suppressAutoHyphens w:val="true"/>
              <w:spacing w:before="40" w:after="40"/>
              <w:jc w:val="center"/>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(In the year)</w:t>
            </w:r>
          </w:p>
          <w:p>
            <w:pPr>
              <w:pStyle w:val="Normal"/>
              <w:widowControl w:val="false"/>
              <w:suppressAutoHyphens w:val="true"/>
              <w:spacing w:before="40" w:after="40"/>
              <w:jc w:val="center"/>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0</w:t>
            </w:r>
          </w:p>
        </w:tc>
        <w:tc>
          <w:tcPr>
            <w:tcW w:w="1442" w:type="dxa"/>
            <w:tcBorders/>
          </w:tcPr>
          <w:p>
            <w:pPr>
              <w:pStyle w:val="Normal"/>
              <w:widowControl w:val="false"/>
              <w:suppressAutoHyphens w:val="true"/>
              <w:spacing w:before="40" w:after="40"/>
              <w:jc w:val="center"/>
              <w:rPr>
                <w:rFonts w:ascii="Arial" w:hAnsi="Arial" w:cs="Arial"/>
                <w:color w:val="000000" w:themeColor="text1"/>
                <w:sz w:val="24"/>
                <w:szCs w:val="24"/>
                <w:highlight w:val="yellow"/>
              </w:rPr>
            </w:pPr>
            <w:r>
              <w:rPr>
                <w:rFonts w:eastAsia="Times New Roman" w:cs="Arial" w:ascii="Arial" w:hAnsi="Arial"/>
                <w:color w:val="000000" w:themeColor="text1"/>
                <w:kern w:val="0"/>
                <w:sz w:val="24"/>
                <w:szCs w:val="24"/>
                <w:highlight w:val="yellow"/>
                <w:lang w:val="en-US" w:eastAsia="en-US" w:bidi="ar-SA"/>
              </w:rPr>
              <w:t>0</w:t>
            </w:r>
          </w:p>
        </w:tc>
        <w:tc>
          <w:tcPr>
            <w:tcW w:w="2611" w:type="dxa"/>
            <w:tcBorders/>
          </w:tcPr>
          <w:p>
            <w:pPr>
              <w:pStyle w:val="Normal"/>
              <w:widowControl w:val="false"/>
              <w:suppressAutoHyphens w:val="true"/>
              <w:spacing w:before="40" w:after="40"/>
              <w:jc w:val="center"/>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(a)</w:t>
            </w:r>
          </w:p>
        </w:tc>
        <w:tc>
          <w:tcPr>
            <w:tcW w:w="990" w:type="dxa"/>
            <w:tcBorders/>
          </w:tcPr>
          <w:p>
            <w:pPr>
              <w:pStyle w:val="Normal"/>
              <w:widowControl w:val="false"/>
              <w:suppressAutoHyphens w:val="true"/>
              <w:spacing w:before="40" w:after="40"/>
              <w:jc w:val="center"/>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0</w:t>
            </w:r>
          </w:p>
        </w:tc>
        <w:tc>
          <w:tcPr>
            <w:tcW w:w="2070" w:type="dxa"/>
            <w:tcBorders/>
          </w:tcPr>
          <w:p>
            <w:pPr>
              <w:pStyle w:val="Normal"/>
              <w:widowControl w:val="false"/>
              <w:suppressAutoHyphens w:val="true"/>
              <w:spacing w:before="40" w:after="40"/>
              <w:jc w:val="left"/>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Human and animal fecal waste</w:t>
            </w:r>
          </w:p>
        </w:tc>
      </w:tr>
    </w:tbl>
    <w:p>
      <w:pPr>
        <w:pStyle w:val="Normal"/>
        <w:rPr>
          <w:rFonts w:ascii="Arial" w:hAnsi="Arial" w:cs="Arial"/>
          <w:sz w:val="24"/>
          <w:szCs w:val="24"/>
          <w:highlight w:val="yellow"/>
        </w:rPr>
      </w:pPr>
      <w:r>
        <w:rPr>
          <w:rFonts w:cs="Arial" w:ascii="Arial" w:hAnsi="Arial"/>
          <w:sz w:val="24"/>
          <w:szCs w:val="24"/>
          <w:highlight w:val="yellow"/>
        </w:rPr>
      </w:r>
    </w:p>
    <w:p>
      <w:pPr>
        <w:pStyle w:val="Normal"/>
        <w:rPr>
          <w:rFonts w:ascii="Arial" w:hAnsi="Arial" w:cs="Arial"/>
          <w:sz w:val="24"/>
          <w:szCs w:val="24"/>
        </w:rPr>
      </w:pPr>
      <w:r>
        <w:rPr>
          <w:rFonts w:cs="Arial" w:ascii="Arial" w:hAnsi="Arial"/>
          <w:sz w:val="24"/>
          <w:szCs w:val="24"/>
          <w:highlight w:val="yellow"/>
        </w:rPr>
        <w:t xml:space="preserve">(a) Routine and repeat samples are total coliform-positive and either is </w:t>
      </w:r>
      <w:r>
        <w:rPr>
          <w:rFonts w:cs="Arial" w:ascii="Arial" w:hAnsi="Arial"/>
          <w:i/>
          <w:sz w:val="24"/>
          <w:szCs w:val="24"/>
          <w:highlight w:val="yellow"/>
        </w:rPr>
        <w:t>E. coli</w:t>
      </w:r>
      <w:r>
        <w:rPr>
          <w:rFonts w:cs="Arial" w:ascii="Arial" w:hAnsi="Arial"/>
          <w:sz w:val="24"/>
          <w:szCs w:val="24"/>
          <w:highlight w:val="yellow"/>
        </w:rPr>
        <w:t xml:space="preserve">-positive or system fails to take repeat samples following </w:t>
      </w:r>
      <w:r>
        <w:rPr>
          <w:rFonts w:cs="Arial" w:ascii="Arial" w:hAnsi="Arial"/>
          <w:i/>
          <w:sz w:val="24"/>
          <w:szCs w:val="24"/>
          <w:highlight w:val="yellow"/>
        </w:rPr>
        <w:t>E. coli</w:t>
      </w:r>
      <w:r>
        <w:rPr>
          <w:rFonts w:cs="Arial" w:ascii="Arial" w:hAnsi="Arial"/>
          <w:sz w:val="24"/>
          <w:szCs w:val="24"/>
          <w:highlight w:val="yellow"/>
        </w:rPr>
        <w:t xml:space="preserve">-positive routine sample or system fails to analyze total coliform-positive repeat sample for </w:t>
      </w:r>
      <w:r>
        <w:rPr>
          <w:rFonts w:cs="Arial" w:ascii="Arial" w:hAnsi="Arial"/>
          <w:i/>
          <w:sz w:val="24"/>
          <w:szCs w:val="24"/>
          <w:highlight w:val="yellow"/>
        </w:rPr>
        <w:t>E. coli</w:t>
      </w:r>
      <w:r>
        <w:rPr>
          <w:rFonts w:cs="Arial" w:ascii="Arial" w:hAnsi="Arial"/>
          <w:sz w:val="24"/>
          <w:szCs w:val="24"/>
          <w:highlight w:val="yellow"/>
        </w:rPr>
        <w:t>.</w:t>
      </w:r>
    </w:p>
    <w:p>
      <w:pPr>
        <w:pStyle w:val="Normal"/>
        <w:rPr>
          <w:rFonts w:ascii="Arial" w:hAnsi="Arial" w:cs="Arial"/>
          <w:sz w:val="24"/>
          <w:szCs w:val="24"/>
        </w:rPr>
      </w:pPr>
      <w:r>
        <w:rPr>
          <w:rFonts w:cs="Arial" w:ascii="Arial" w:hAnsi="Arial"/>
          <w:sz w:val="24"/>
          <w:szCs w:val="24"/>
        </w:rPr>
      </w:r>
    </w:p>
    <w:p>
      <w:pPr>
        <w:pStyle w:val="Normal"/>
        <w:rPr>
          <w:rFonts w:ascii="Arial" w:hAnsi="Arial" w:cs="Arial"/>
          <w:b/>
          <w:b/>
          <w:bCs/>
          <w:sz w:val="24"/>
          <w:szCs w:val="24"/>
          <w:highlight w:val="yellow"/>
        </w:rPr>
      </w:pPr>
      <w:r>
        <w:rPr>
          <w:rFonts w:cs="Arial" w:ascii="Arial" w:hAnsi="Arial"/>
          <w:b/>
          <w:bCs/>
          <w:sz w:val="24"/>
          <w:szCs w:val="24"/>
          <w:highlight w:val="yellow"/>
        </w:rPr>
        <w:t>Table 1.A. Compliance with Total Coliform MCL between January 1, 2021 and June 30, 2021 (inclusive)</w:t>
      </w:r>
    </w:p>
    <w:p>
      <w:pPr>
        <w:pStyle w:val="Normal"/>
        <w:rPr>
          <w:rFonts w:ascii="Arial" w:hAnsi="Arial" w:cs="Arial"/>
          <w:sz w:val="24"/>
          <w:szCs w:val="24"/>
          <w:highlight w:val="yellow"/>
        </w:rPr>
      </w:pPr>
      <w:r>
        <w:rPr>
          <w:rFonts w:cs="Arial" w:ascii="Arial" w:hAnsi="Arial"/>
          <w:sz w:val="24"/>
          <w:szCs w:val="24"/>
          <w:highlight w:val="yellow"/>
        </w:rPr>
      </w:r>
    </w:p>
    <w:tbl>
      <w:tblPr>
        <w:tblStyle w:val="TableGrid"/>
        <w:tblW w:w="10796" w:type="dxa"/>
        <w:jc w:val="left"/>
        <w:tblInd w:w="0" w:type="dxa"/>
        <w:tblLayout w:type="fixed"/>
        <w:tblCellMar>
          <w:top w:w="0" w:type="dxa"/>
          <w:left w:w="108" w:type="dxa"/>
          <w:bottom w:w="0" w:type="dxa"/>
          <w:right w:w="108" w:type="dxa"/>
        </w:tblCellMar>
        <w:tblLook w:firstRow="1" w:noVBand="0" w:lastRow="0" w:firstColumn="0" w:lastColumn="0" w:noHBand="0" w:val="0020"/>
      </w:tblPr>
      <w:tblGrid>
        <w:gridCol w:w="2065"/>
        <w:gridCol w:w="1617"/>
        <w:gridCol w:w="1442"/>
        <w:gridCol w:w="2611"/>
        <w:gridCol w:w="990"/>
        <w:gridCol w:w="2070"/>
      </w:tblGrid>
      <w:tr>
        <w:trPr>
          <w:tblHeader w:val="true"/>
          <w:trHeight w:val="611" w:hRule="atLeast"/>
          <w:cantSplit w:val="true"/>
        </w:trPr>
        <w:tc>
          <w:tcPr>
            <w:tcW w:w="2065" w:type="dxa"/>
            <w:tcBorders/>
            <w:vAlign w:val="center"/>
          </w:tcPr>
          <w:p>
            <w:pPr>
              <w:pStyle w:val="Normal"/>
              <w:widowControl w:val="false"/>
              <w:suppressAutoHyphens w:val="true"/>
              <w:spacing w:before="40" w:after="40"/>
              <w:jc w:val="center"/>
              <w:rPr>
                <w:rFonts w:ascii="Arial" w:hAnsi="Arial" w:cs="Arial"/>
                <w:b/>
                <w:b/>
                <w:bCs/>
                <w:sz w:val="24"/>
                <w:szCs w:val="24"/>
                <w:highlight w:val="yellow"/>
              </w:rPr>
            </w:pPr>
            <w:r>
              <w:rPr>
                <w:rFonts w:eastAsia="Times New Roman" w:cs="Arial" w:ascii="Arial" w:hAnsi="Arial"/>
                <w:b/>
                <w:bCs/>
                <w:kern w:val="0"/>
                <w:sz w:val="24"/>
                <w:szCs w:val="24"/>
                <w:highlight w:val="yellow"/>
                <w:lang w:val="en-US" w:eastAsia="en-US" w:bidi="ar-SA"/>
              </w:rPr>
              <w:t xml:space="preserve">Microbiological Contaminants </w:t>
            </w:r>
          </w:p>
        </w:tc>
        <w:tc>
          <w:tcPr>
            <w:tcW w:w="1617" w:type="dxa"/>
            <w:tcBorders/>
            <w:vAlign w:val="center"/>
          </w:tcPr>
          <w:p>
            <w:pPr>
              <w:pStyle w:val="Normal"/>
              <w:widowControl w:val="false"/>
              <w:suppressAutoHyphens w:val="true"/>
              <w:spacing w:before="40" w:after="40"/>
              <w:jc w:val="center"/>
              <w:rPr>
                <w:rFonts w:ascii="Arial" w:hAnsi="Arial" w:cs="Arial"/>
                <w:b/>
                <w:b/>
                <w:bCs/>
                <w:sz w:val="24"/>
                <w:szCs w:val="24"/>
                <w:highlight w:val="yellow"/>
              </w:rPr>
            </w:pPr>
            <w:r>
              <w:rPr>
                <w:rFonts w:eastAsia="Times New Roman" w:cs="Arial" w:ascii="Arial" w:hAnsi="Arial"/>
                <w:b/>
                <w:bCs/>
                <w:kern w:val="0"/>
                <w:sz w:val="24"/>
                <w:szCs w:val="24"/>
                <w:highlight w:val="yellow"/>
                <w:lang w:val="en-US" w:eastAsia="en-US" w:bidi="ar-SA"/>
              </w:rPr>
              <w:t>Highest No. of Detections</w:t>
            </w:r>
          </w:p>
        </w:tc>
        <w:tc>
          <w:tcPr>
            <w:tcW w:w="1442" w:type="dxa"/>
            <w:tcBorders/>
            <w:vAlign w:val="center"/>
          </w:tcPr>
          <w:p>
            <w:pPr>
              <w:pStyle w:val="Normal"/>
              <w:widowControl w:val="false"/>
              <w:suppressAutoHyphens w:val="true"/>
              <w:spacing w:before="40" w:after="40"/>
              <w:jc w:val="center"/>
              <w:rPr>
                <w:rFonts w:ascii="Arial" w:hAnsi="Arial" w:cs="Arial"/>
                <w:b/>
                <w:b/>
                <w:bCs/>
                <w:sz w:val="24"/>
                <w:szCs w:val="24"/>
                <w:highlight w:val="yellow"/>
              </w:rPr>
            </w:pPr>
            <w:r>
              <w:rPr>
                <w:rFonts w:eastAsia="Times New Roman" w:cs="Arial" w:ascii="Arial" w:hAnsi="Arial"/>
                <w:b/>
                <w:bCs/>
                <w:kern w:val="0"/>
                <w:sz w:val="24"/>
                <w:szCs w:val="24"/>
                <w:highlight w:val="yellow"/>
                <w:lang w:val="en-US" w:eastAsia="en-US" w:bidi="ar-SA"/>
              </w:rPr>
              <w:t>No. of Months in Violation</w:t>
            </w:r>
          </w:p>
        </w:tc>
        <w:tc>
          <w:tcPr>
            <w:tcW w:w="2611" w:type="dxa"/>
            <w:tcBorders/>
            <w:vAlign w:val="center"/>
          </w:tcPr>
          <w:p>
            <w:pPr>
              <w:pStyle w:val="Normal"/>
              <w:widowControl w:val="false"/>
              <w:suppressAutoHyphens w:val="true"/>
              <w:spacing w:before="40" w:after="40"/>
              <w:jc w:val="center"/>
              <w:rPr>
                <w:rFonts w:ascii="Arial" w:hAnsi="Arial" w:cs="Arial"/>
                <w:b/>
                <w:b/>
                <w:bCs/>
                <w:sz w:val="24"/>
                <w:szCs w:val="24"/>
                <w:highlight w:val="yellow"/>
              </w:rPr>
            </w:pPr>
            <w:r>
              <w:rPr>
                <w:rFonts w:eastAsia="Times New Roman" w:cs="Arial" w:ascii="Arial" w:hAnsi="Arial"/>
                <w:b/>
                <w:bCs/>
                <w:kern w:val="0"/>
                <w:sz w:val="24"/>
                <w:szCs w:val="24"/>
                <w:highlight w:val="yellow"/>
                <w:lang w:val="en-US" w:eastAsia="en-US" w:bidi="ar-SA"/>
              </w:rPr>
              <w:t>MCL</w:t>
            </w:r>
          </w:p>
        </w:tc>
        <w:tc>
          <w:tcPr>
            <w:tcW w:w="990" w:type="dxa"/>
            <w:tcBorders/>
            <w:vAlign w:val="center"/>
          </w:tcPr>
          <w:p>
            <w:pPr>
              <w:pStyle w:val="Normal"/>
              <w:widowControl w:val="false"/>
              <w:suppressAutoHyphens w:val="true"/>
              <w:spacing w:before="40" w:after="40"/>
              <w:jc w:val="center"/>
              <w:rPr>
                <w:rFonts w:ascii="Arial" w:hAnsi="Arial" w:cs="Arial"/>
                <w:b/>
                <w:b/>
                <w:bCs/>
                <w:sz w:val="24"/>
                <w:szCs w:val="24"/>
                <w:highlight w:val="yellow"/>
              </w:rPr>
            </w:pPr>
            <w:r>
              <w:rPr>
                <w:rFonts w:eastAsia="Times New Roman" w:cs="Arial" w:ascii="Arial" w:hAnsi="Arial"/>
                <w:b/>
                <w:bCs/>
                <w:kern w:val="0"/>
                <w:sz w:val="24"/>
                <w:szCs w:val="24"/>
                <w:highlight w:val="yellow"/>
                <w:lang w:val="en-US" w:eastAsia="en-US" w:bidi="ar-SA"/>
              </w:rPr>
              <w:t>MCLG</w:t>
            </w:r>
          </w:p>
        </w:tc>
        <w:tc>
          <w:tcPr>
            <w:tcW w:w="2070" w:type="dxa"/>
            <w:tcBorders/>
            <w:vAlign w:val="center"/>
          </w:tcPr>
          <w:p>
            <w:pPr>
              <w:pStyle w:val="Normal"/>
              <w:widowControl w:val="false"/>
              <w:suppressAutoHyphens w:val="true"/>
              <w:spacing w:before="40" w:after="40"/>
              <w:jc w:val="center"/>
              <w:rPr>
                <w:rFonts w:ascii="Arial" w:hAnsi="Arial" w:cs="Arial"/>
                <w:b/>
                <w:b/>
                <w:bCs/>
                <w:sz w:val="24"/>
                <w:szCs w:val="24"/>
                <w:highlight w:val="yellow"/>
              </w:rPr>
            </w:pPr>
            <w:r>
              <w:rPr>
                <w:rFonts w:eastAsia="Times New Roman" w:cs="Arial" w:ascii="Arial" w:hAnsi="Arial"/>
                <w:b/>
                <w:bCs/>
                <w:kern w:val="0"/>
                <w:sz w:val="24"/>
                <w:szCs w:val="24"/>
                <w:highlight w:val="yellow"/>
                <w:lang w:val="en-US" w:eastAsia="en-US" w:bidi="ar-SA"/>
              </w:rPr>
              <w:t>Typical Source of Bacteria</w:t>
            </w:r>
          </w:p>
        </w:tc>
      </w:tr>
      <w:tr>
        <w:trPr>
          <w:tblHeader w:val="true"/>
          <w:trHeight w:val="611" w:hRule="atLeast"/>
          <w:cantSplit w:val="true"/>
        </w:trPr>
        <w:tc>
          <w:tcPr>
            <w:tcW w:w="2065" w:type="dxa"/>
            <w:tcBorders/>
          </w:tcPr>
          <w:p>
            <w:pPr>
              <w:pStyle w:val="Normal"/>
              <w:widowControl w:val="false"/>
              <w:suppressAutoHyphens w:val="true"/>
              <w:spacing w:before="40" w:after="40"/>
              <w:jc w:val="left"/>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 xml:space="preserve">Total Coliform Bacteria </w:t>
            </w:r>
          </w:p>
        </w:tc>
        <w:tc>
          <w:tcPr>
            <w:tcW w:w="1617" w:type="dxa"/>
            <w:tcBorders/>
          </w:tcPr>
          <w:p>
            <w:pPr>
              <w:pStyle w:val="Normal"/>
              <w:widowControl w:val="false"/>
              <w:suppressAutoHyphens w:val="true"/>
              <w:spacing w:before="40" w:after="40"/>
              <w:jc w:val="center"/>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(In a month)</w:t>
            </w:r>
          </w:p>
          <w:p>
            <w:pPr>
              <w:pStyle w:val="Normal"/>
              <w:widowControl w:val="false"/>
              <w:suppressAutoHyphens w:val="true"/>
              <w:spacing w:before="40" w:after="40"/>
              <w:jc w:val="center"/>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0</w:t>
            </w:r>
          </w:p>
        </w:tc>
        <w:tc>
          <w:tcPr>
            <w:tcW w:w="1442" w:type="dxa"/>
            <w:tcBorders/>
          </w:tcPr>
          <w:p>
            <w:pPr>
              <w:pStyle w:val="Normal"/>
              <w:widowControl w:val="false"/>
              <w:suppressAutoHyphens w:val="true"/>
              <w:spacing w:before="40" w:after="40"/>
              <w:jc w:val="left"/>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0</w:t>
            </w:r>
          </w:p>
        </w:tc>
        <w:tc>
          <w:tcPr>
            <w:tcW w:w="2611" w:type="dxa"/>
            <w:tcBorders/>
          </w:tcPr>
          <w:p>
            <w:pPr>
              <w:pStyle w:val="Normal"/>
              <w:widowControl w:val="false"/>
              <w:suppressAutoHyphens w:val="true"/>
              <w:spacing w:before="40" w:after="40"/>
              <w:jc w:val="left"/>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1 positive monthly sample (a)</w:t>
            </w:r>
          </w:p>
        </w:tc>
        <w:tc>
          <w:tcPr>
            <w:tcW w:w="990" w:type="dxa"/>
            <w:tcBorders/>
          </w:tcPr>
          <w:p>
            <w:pPr>
              <w:pStyle w:val="Normal"/>
              <w:widowControl w:val="false"/>
              <w:suppressAutoHyphens w:val="true"/>
              <w:spacing w:before="40" w:after="40"/>
              <w:jc w:val="left"/>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0</w:t>
            </w:r>
          </w:p>
        </w:tc>
        <w:tc>
          <w:tcPr>
            <w:tcW w:w="2070" w:type="dxa"/>
            <w:tcBorders/>
          </w:tcPr>
          <w:p>
            <w:pPr>
              <w:pStyle w:val="Normal"/>
              <w:widowControl w:val="false"/>
              <w:suppressAutoHyphens w:val="true"/>
              <w:spacing w:before="40" w:after="40"/>
              <w:jc w:val="left"/>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Naturally present in the environment</w:t>
            </w:r>
          </w:p>
        </w:tc>
      </w:tr>
      <w:tr>
        <w:trPr>
          <w:tblHeader w:val="true"/>
          <w:trHeight w:val="611" w:hRule="atLeast"/>
          <w:cantSplit w:val="true"/>
        </w:trPr>
        <w:tc>
          <w:tcPr>
            <w:tcW w:w="2065" w:type="dxa"/>
            <w:tcBorders/>
          </w:tcPr>
          <w:p>
            <w:pPr>
              <w:pStyle w:val="Normal"/>
              <w:widowControl w:val="false"/>
              <w:suppressAutoHyphens w:val="true"/>
              <w:spacing w:before="40" w:after="40"/>
              <w:jc w:val="left"/>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 xml:space="preserve">Fecal Coliform and </w:t>
            </w:r>
            <w:r>
              <w:rPr>
                <w:rFonts w:eastAsia="Times New Roman" w:cs="Arial" w:ascii="Arial" w:hAnsi="Arial"/>
                <w:i/>
                <w:iCs/>
                <w:kern w:val="0"/>
                <w:sz w:val="24"/>
                <w:szCs w:val="24"/>
                <w:highlight w:val="yellow"/>
                <w:lang w:val="en-US" w:eastAsia="en-US" w:bidi="ar-SA"/>
              </w:rPr>
              <w:t xml:space="preserve">E. coli </w:t>
            </w:r>
          </w:p>
        </w:tc>
        <w:tc>
          <w:tcPr>
            <w:tcW w:w="1617" w:type="dxa"/>
            <w:tcBorders/>
          </w:tcPr>
          <w:p>
            <w:pPr>
              <w:pStyle w:val="Normal"/>
              <w:widowControl w:val="false"/>
              <w:suppressAutoHyphens w:val="true"/>
              <w:spacing w:before="40" w:after="40"/>
              <w:jc w:val="center"/>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(in the year)</w:t>
            </w:r>
          </w:p>
          <w:p>
            <w:pPr>
              <w:pStyle w:val="Normal"/>
              <w:widowControl w:val="false"/>
              <w:suppressAutoHyphens w:val="true"/>
              <w:spacing w:before="40" w:after="40"/>
              <w:jc w:val="center"/>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0</w:t>
            </w:r>
          </w:p>
        </w:tc>
        <w:tc>
          <w:tcPr>
            <w:tcW w:w="1442" w:type="dxa"/>
            <w:tcBorders/>
          </w:tcPr>
          <w:p>
            <w:pPr>
              <w:pStyle w:val="Normal"/>
              <w:widowControl w:val="false"/>
              <w:suppressAutoHyphens w:val="true"/>
              <w:spacing w:before="40" w:after="40"/>
              <w:jc w:val="left"/>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0</w:t>
            </w:r>
          </w:p>
        </w:tc>
        <w:tc>
          <w:tcPr>
            <w:tcW w:w="2611" w:type="dxa"/>
            <w:tcBorders/>
          </w:tcPr>
          <w:p>
            <w:pPr>
              <w:pStyle w:val="Normal"/>
              <w:widowControl w:val="false"/>
              <w:suppressAutoHyphens w:val="true"/>
              <w:spacing w:before="40" w:after="40"/>
              <w:jc w:val="left"/>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0</w:t>
            </w:r>
          </w:p>
        </w:tc>
        <w:tc>
          <w:tcPr>
            <w:tcW w:w="990" w:type="dxa"/>
            <w:tcBorders/>
          </w:tcPr>
          <w:p>
            <w:pPr>
              <w:pStyle w:val="Normal"/>
              <w:widowControl w:val="false"/>
              <w:suppressAutoHyphens w:val="true"/>
              <w:spacing w:before="40" w:after="40"/>
              <w:jc w:val="left"/>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None</w:t>
            </w:r>
          </w:p>
        </w:tc>
        <w:tc>
          <w:tcPr>
            <w:tcW w:w="2070" w:type="dxa"/>
            <w:tcBorders/>
          </w:tcPr>
          <w:p>
            <w:pPr>
              <w:pStyle w:val="Normal"/>
              <w:widowControl w:val="false"/>
              <w:suppressAutoHyphens w:val="true"/>
              <w:spacing w:before="40" w:after="40"/>
              <w:jc w:val="left"/>
              <w:rPr>
                <w:rFonts w:ascii="Arial" w:hAnsi="Arial" w:cs="Arial"/>
                <w:sz w:val="24"/>
                <w:szCs w:val="24"/>
                <w:highlight w:val="yellow"/>
              </w:rPr>
            </w:pPr>
            <w:r>
              <w:rPr>
                <w:rFonts w:eastAsia="Times New Roman" w:cs="Arial" w:ascii="Arial" w:hAnsi="Arial"/>
                <w:kern w:val="0"/>
                <w:sz w:val="24"/>
                <w:szCs w:val="24"/>
                <w:highlight w:val="yellow"/>
                <w:lang w:val="en-US" w:eastAsia="en-US" w:bidi="ar-SA"/>
              </w:rPr>
              <w:t>Human and animal fecal waste</w:t>
            </w:r>
          </w:p>
        </w:tc>
      </w:tr>
    </w:tbl>
    <w:p>
      <w:pPr>
        <w:pStyle w:val="Normal"/>
        <w:rPr>
          <w:rFonts w:ascii="Arial" w:hAnsi="Arial" w:cs="Arial"/>
          <w:sz w:val="24"/>
          <w:szCs w:val="24"/>
          <w:highlight w:val="yellow"/>
        </w:rPr>
      </w:pPr>
      <w:r>
        <w:rPr>
          <w:rFonts w:cs="Arial" w:ascii="Arial" w:hAnsi="Arial"/>
          <w:sz w:val="24"/>
          <w:szCs w:val="24"/>
          <w:highlight w:val="yellow"/>
        </w:rPr>
        <w:t>(a) For systems collecting fewer than 40 samples per month: two or more positively monthly samples is a violation of the total coliform MCL</w:t>
      </w:r>
    </w:p>
    <w:p>
      <w:pPr>
        <w:pStyle w:val="Caption1"/>
        <w:rPr/>
      </w:pPr>
      <w:r>
        <w:rPr>
          <w:b w:val="false"/>
          <w:bCs/>
          <w:highlight w:val="yellow"/>
        </w:rPr>
        <w:t>For violation of the total coliform MCL, include potential adverse health effects, and actions taken by water system to address the violation</w:t>
      </w:r>
      <w:r>
        <w:rPr>
          <w:highlight w:val="yellow"/>
        </w:rPr>
        <w:t xml:space="preserve">: </w:t>
      </w:r>
      <w:r>
        <w:rPr>
          <w:b w:val="false"/>
          <w:bCs/>
          <w:highlight w:val="yellow"/>
        </w:rPr>
        <w:t>[Enter information]</w:t>
      </w:r>
    </w:p>
    <w:p>
      <w:pPr>
        <w:pStyle w:val="Caption1"/>
        <w:rPr/>
      </w:pPr>
      <w:r>
        <w:rPr/>
        <w:t xml:space="preserve">Table </w:t>
      </w:r>
      <w:r>
        <w:rPr/>
        <w:fldChar w:fldCharType="begin"/>
      </w:r>
      <w:r>
        <w:rPr/>
        <w:instrText> SEQ Table \* ARABIC </w:instrText>
      </w:r>
      <w:r>
        <w:rPr/>
        <w:fldChar w:fldCharType="separate"/>
      </w:r>
      <w:r>
        <w:rPr/>
        <w:t>2</w:t>
      </w:r>
      <w:r>
        <w:rPr/>
        <w:fldChar w:fldCharType="end"/>
      </w:r>
      <w:r>
        <w:rPr/>
        <w:t>.  Sampling Results Showing the Detection of Lead and Copper</w:t>
      </w:r>
    </w:p>
    <w:p>
      <w:pPr>
        <w:pStyle w:val="Normal"/>
        <w:rPr>
          <w:rFonts w:ascii="Arial" w:hAnsi="Arial" w:cs="Arial"/>
          <w:sz w:val="24"/>
          <w:szCs w:val="24"/>
        </w:rPr>
      </w:pPr>
      <w:r>
        <w:rPr>
          <w:rFonts w:cs="Arial" w:ascii="Arial" w:hAnsi="Arial"/>
          <w:sz w:val="24"/>
          <w:szCs w:val="24"/>
        </w:rPr>
        <w:t>Complete if lead or copper is detected in the last sample set.</w:t>
      </w:r>
    </w:p>
    <w:p>
      <w:pPr>
        <w:pStyle w:val="Normal"/>
        <w:rPr/>
      </w:pPr>
      <w:r>
        <w:rPr/>
      </w:r>
    </w:p>
    <w:tbl>
      <w:tblPr>
        <w:tblStyle w:val="TableGrid"/>
        <w:tblW w:w="10885" w:type="dxa"/>
        <w:jc w:val="left"/>
        <w:tblInd w:w="0" w:type="dxa"/>
        <w:tblLayout w:type="fixed"/>
        <w:tblCellMar>
          <w:top w:w="0" w:type="dxa"/>
          <w:left w:w="86" w:type="dxa"/>
          <w:bottom w:w="0" w:type="dxa"/>
          <w:right w:w="86" w:type="dxa"/>
        </w:tblCellMar>
        <w:tblLook w:firstRow="1" w:noVBand="0" w:lastRow="0" w:firstColumn="0" w:lastColumn="0" w:noHBand="0" w:val="0020"/>
      </w:tblPr>
      <w:tblGrid>
        <w:gridCol w:w="985"/>
        <w:gridCol w:w="1440"/>
        <w:gridCol w:w="900"/>
        <w:gridCol w:w="989"/>
        <w:gridCol w:w="901"/>
        <w:gridCol w:w="539"/>
        <w:gridCol w:w="540"/>
        <w:gridCol w:w="1350"/>
        <w:gridCol w:w="3240"/>
      </w:tblGrid>
      <w:tr>
        <w:trPr>
          <w:tblHeader w:val="true"/>
          <w:trHeight w:val="1862" w:hRule="atLeast"/>
          <w:cantSplit w:val="true"/>
        </w:trPr>
        <w:tc>
          <w:tcPr>
            <w:tcW w:w="985" w:type="dxa"/>
            <w:tcBorders/>
            <w:textDirection w:val="btLr"/>
            <w:vAlign w:val="center"/>
          </w:tcPr>
          <w:p>
            <w:pPr>
              <w:pStyle w:val="Normal"/>
              <w:widowControl w:val="false"/>
              <w:suppressAutoHyphens w:val="true"/>
              <w:spacing w:before="0" w:after="0"/>
              <w:jc w:val="center"/>
              <w:rPr>
                <w:rFonts w:ascii="Arial" w:hAnsi="Arial" w:cs="Arial"/>
                <w:b/>
                <w:b/>
                <w:bCs/>
                <w:sz w:val="24"/>
                <w:szCs w:val="24"/>
              </w:rPr>
            </w:pPr>
            <w:r>
              <w:rPr>
                <w:rFonts w:eastAsia="Times New Roman" w:cs="Arial" w:ascii="Arial" w:hAnsi="Arial"/>
                <w:b/>
                <w:bCs/>
                <w:kern w:val="0"/>
                <w:sz w:val="24"/>
                <w:szCs w:val="24"/>
                <w:lang w:val="en-US" w:eastAsia="en-US" w:bidi="ar-SA"/>
              </w:rPr>
              <w:t xml:space="preserve">Lead and Copper </w:t>
            </w:r>
          </w:p>
        </w:tc>
        <w:tc>
          <w:tcPr>
            <w:tcW w:w="1440" w:type="dxa"/>
            <w:tcBorders/>
            <w:textDirection w:val="btLr"/>
            <w:vAlign w:val="center"/>
          </w:tcPr>
          <w:p>
            <w:pPr>
              <w:pStyle w:val="Normal"/>
              <w:widowControl w:val="false"/>
              <w:suppressAutoHyphens w:val="true"/>
              <w:spacing w:before="0" w:after="0"/>
              <w:jc w:val="center"/>
              <w:rPr>
                <w:rFonts w:ascii="Arial" w:hAnsi="Arial" w:cs="Arial"/>
                <w:b/>
                <w:b/>
                <w:bCs/>
                <w:sz w:val="24"/>
                <w:szCs w:val="24"/>
              </w:rPr>
            </w:pPr>
            <w:r>
              <w:rPr>
                <w:rFonts w:eastAsia="Times New Roman" w:cs="Arial" w:ascii="Arial" w:hAnsi="Arial"/>
                <w:b/>
                <w:bCs/>
                <w:kern w:val="0"/>
                <w:sz w:val="24"/>
                <w:szCs w:val="24"/>
                <w:lang w:val="en-US" w:eastAsia="en-US" w:bidi="ar-SA"/>
              </w:rPr>
              <w:t>Sample Date</w:t>
            </w:r>
          </w:p>
        </w:tc>
        <w:tc>
          <w:tcPr>
            <w:tcW w:w="900" w:type="dxa"/>
            <w:tcBorders/>
            <w:textDirection w:val="btLr"/>
            <w:vAlign w:val="center"/>
          </w:tcPr>
          <w:p>
            <w:pPr>
              <w:pStyle w:val="Normal"/>
              <w:widowControl w:val="false"/>
              <w:suppressAutoHyphens w:val="true"/>
              <w:spacing w:before="0" w:after="0"/>
              <w:jc w:val="center"/>
              <w:rPr>
                <w:rFonts w:ascii="Arial" w:hAnsi="Arial" w:cs="Arial"/>
                <w:b/>
                <w:b/>
                <w:bCs/>
                <w:sz w:val="24"/>
                <w:szCs w:val="24"/>
              </w:rPr>
            </w:pPr>
            <w:r>
              <w:rPr>
                <w:rFonts w:eastAsia="Times New Roman" w:cs="Arial" w:ascii="Arial" w:hAnsi="Arial"/>
                <w:b/>
                <w:bCs/>
                <w:kern w:val="0"/>
                <w:sz w:val="24"/>
                <w:szCs w:val="24"/>
                <w:lang w:val="en-US" w:eastAsia="en-US" w:bidi="ar-SA"/>
              </w:rPr>
              <w:t>No. of Samples Collected</w:t>
            </w:r>
          </w:p>
        </w:tc>
        <w:tc>
          <w:tcPr>
            <w:tcW w:w="989" w:type="dxa"/>
            <w:tcBorders/>
            <w:textDirection w:val="btLr"/>
            <w:vAlign w:val="center"/>
          </w:tcPr>
          <w:p>
            <w:pPr>
              <w:pStyle w:val="Normal"/>
              <w:widowControl w:val="false"/>
              <w:suppressAutoHyphens w:val="true"/>
              <w:spacing w:before="0" w:after="0"/>
              <w:jc w:val="center"/>
              <w:rPr>
                <w:rFonts w:ascii="Arial" w:hAnsi="Arial" w:cs="Arial"/>
                <w:b/>
                <w:b/>
                <w:bCs/>
                <w:sz w:val="24"/>
                <w:szCs w:val="24"/>
              </w:rPr>
            </w:pPr>
            <w:r>
              <w:rPr>
                <w:rFonts w:eastAsia="Times New Roman" w:cs="Arial" w:ascii="Arial" w:hAnsi="Arial"/>
                <w:b/>
                <w:bCs/>
                <w:kern w:val="0"/>
                <w:sz w:val="24"/>
                <w:szCs w:val="24"/>
                <w:lang w:val="en-US" w:eastAsia="en-US" w:bidi="ar-SA"/>
              </w:rPr>
              <w:t>90</w:t>
            </w:r>
            <w:r>
              <w:rPr>
                <w:rFonts w:eastAsia="Times New Roman" w:cs="Arial" w:ascii="Arial" w:hAnsi="Arial"/>
                <w:b/>
                <w:bCs/>
                <w:kern w:val="0"/>
                <w:sz w:val="24"/>
                <w:szCs w:val="24"/>
                <w:vertAlign w:val="superscript"/>
                <w:lang w:val="en-US" w:eastAsia="en-US" w:bidi="ar-SA"/>
              </w:rPr>
              <w:t>th</w:t>
            </w:r>
            <w:r>
              <w:rPr>
                <w:rFonts w:eastAsia="Times New Roman" w:cs="Arial" w:ascii="Arial" w:hAnsi="Arial"/>
                <w:b/>
                <w:bCs/>
                <w:kern w:val="0"/>
                <w:sz w:val="24"/>
                <w:szCs w:val="24"/>
                <w:lang w:val="en-US" w:eastAsia="en-US" w:bidi="ar-SA"/>
              </w:rPr>
              <w:t xml:space="preserve"> Percentile Level Detected</w:t>
            </w:r>
          </w:p>
        </w:tc>
        <w:tc>
          <w:tcPr>
            <w:tcW w:w="901" w:type="dxa"/>
            <w:tcBorders/>
            <w:textDirection w:val="btLr"/>
            <w:vAlign w:val="center"/>
          </w:tcPr>
          <w:p>
            <w:pPr>
              <w:pStyle w:val="Normal"/>
              <w:widowControl w:val="false"/>
              <w:suppressAutoHyphens w:val="true"/>
              <w:spacing w:before="0" w:after="0"/>
              <w:jc w:val="center"/>
              <w:rPr>
                <w:rFonts w:ascii="Arial" w:hAnsi="Arial" w:cs="Arial"/>
                <w:b/>
                <w:b/>
                <w:bCs/>
                <w:sz w:val="24"/>
                <w:szCs w:val="24"/>
              </w:rPr>
            </w:pPr>
            <w:r>
              <w:rPr>
                <w:rFonts w:eastAsia="Times New Roman" w:cs="Arial" w:ascii="Arial" w:hAnsi="Arial"/>
                <w:b/>
                <w:bCs/>
                <w:kern w:val="0"/>
                <w:sz w:val="24"/>
                <w:szCs w:val="24"/>
                <w:lang w:val="en-US" w:eastAsia="en-US" w:bidi="ar-SA"/>
              </w:rPr>
              <w:t>No. Sites Exceeding AL</w:t>
            </w:r>
          </w:p>
        </w:tc>
        <w:tc>
          <w:tcPr>
            <w:tcW w:w="539" w:type="dxa"/>
            <w:tcBorders/>
            <w:textDirection w:val="btLr"/>
            <w:vAlign w:val="center"/>
          </w:tcPr>
          <w:p>
            <w:pPr>
              <w:pStyle w:val="Normal"/>
              <w:widowControl w:val="false"/>
              <w:suppressAutoHyphens w:val="true"/>
              <w:spacing w:before="0" w:after="0"/>
              <w:jc w:val="center"/>
              <w:rPr>
                <w:rFonts w:ascii="Arial" w:hAnsi="Arial" w:cs="Arial"/>
                <w:b/>
                <w:b/>
                <w:bCs/>
                <w:sz w:val="24"/>
                <w:szCs w:val="24"/>
              </w:rPr>
            </w:pPr>
            <w:r>
              <w:rPr>
                <w:rFonts w:eastAsia="Times New Roman" w:cs="Arial" w:ascii="Arial" w:hAnsi="Arial"/>
                <w:b/>
                <w:bCs/>
                <w:kern w:val="0"/>
                <w:sz w:val="24"/>
                <w:szCs w:val="24"/>
                <w:lang w:val="en-US" w:eastAsia="en-US" w:bidi="ar-SA"/>
              </w:rPr>
              <w:t>AL</w:t>
            </w:r>
          </w:p>
        </w:tc>
        <w:tc>
          <w:tcPr>
            <w:tcW w:w="540" w:type="dxa"/>
            <w:tcBorders/>
            <w:textDirection w:val="btLr"/>
            <w:vAlign w:val="center"/>
          </w:tcPr>
          <w:p>
            <w:pPr>
              <w:pStyle w:val="Normal"/>
              <w:widowControl w:val="false"/>
              <w:suppressAutoHyphens w:val="true"/>
              <w:spacing w:before="0" w:after="0"/>
              <w:jc w:val="center"/>
              <w:rPr>
                <w:rFonts w:ascii="Arial" w:hAnsi="Arial" w:cs="Arial"/>
                <w:b/>
                <w:b/>
                <w:bCs/>
                <w:sz w:val="24"/>
                <w:szCs w:val="24"/>
              </w:rPr>
            </w:pPr>
            <w:r>
              <w:rPr>
                <w:rFonts w:eastAsia="Times New Roman" w:cs="Arial" w:ascii="Arial" w:hAnsi="Arial"/>
                <w:b/>
                <w:bCs/>
                <w:kern w:val="0"/>
                <w:sz w:val="24"/>
                <w:szCs w:val="24"/>
                <w:lang w:val="en-US" w:eastAsia="en-US" w:bidi="ar-SA"/>
              </w:rPr>
              <w:t>PHG</w:t>
            </w:r>
          </w:p>
        </w:tc>
        <w:tc>
          <w:tcPr>
            <w:tcW w:w="1350" w:type="dxa"/>
            <w:tcBorders/>
            <w:textDirection w:val="btLr"/>
            <w:vAlign w:val="center"/>
          </w:tcPr>
          <w:p>
            <w:pPr>
              <w:pStyle w:val="Normal"/>
              <w:widowControl w:val="false"/>
              <w:suppressAutoHyphens w:val="true"/>
              <w:spacing w:before="0" w:after="0"/>
              <w:jc w:val="center"/>
              <w:rPr>
                <w:rFonts w:ascii="Arial" w:hAnsi="Arial" w:cs="Arial"/>
                <w:b/>
                <w:b/>
                <w:bCs/>
                <w:sz w:val="24"/>
                <w:szCs w:val="24"/>
              </w:rPr>
            </w:pPr>
            <w:r>
              <w:rPr>
                <w:rFonts w:eastAsia="Times New Roman" w:cs="Arial" w:ascii="Arial" w:hAnsi="Arial"/>
                <w:b/>
                <w:bCs/>
                <w:kern w:val="0"/>
                <w:sz w:val="24"/>
                <w:szCs w:val="24"/>
                <w:lang w:val="en-US" w:eastAsia="en-US" w:bidi="ar-SA"/>
              </w:rPr>
              <w:t>No. of Schools Requesting Lead Sampling</w:t>
            </w:r>
          </w:p>
        </w:tc>
        <w:tc>
          <w:tcPr>
            <w:tcW w:w="3240" w:type="dxa"/>
            <w:tcBorders/>
            <w:tcMar>
              <w:left w:w="108" w:type="dxa"/>
              <w:right w:w="108" w:type="dxa"/>
            </w:tcMar>
            <w:textDirection w:val="btLr"/>
            <w:vAlign w:val="center"/>
          </w:tcPr>
          <w:p>
            <w:pPr>
              <w:pStyle w:val="Normal"/>
              <w:widowControl w:val="false"/>
              <w:suppressAutoHyphens w:val="true"/>
              <w:spacing w:before="0" w:after="0"/>
              <w:jc w:val="center"/>
              <w:rPr>
                <w:rFonts w:ascii="Arial" w:hAnsi="Arial" w:cs="Arial"/>
                <w:b/>
                <w:b/>
                <w:bCs/>
                <w:sz w:val="24"/>
                <w:szCs w:val="24"/>
              </w:rPr>
            </w:pPr>
            <w:r>
              <w:rPr>
                <w:rFonts w:eastAsia="Times New Roman" w:cs="Arial" w:ascii="Arial" w:hAnsi="Arial"/>
                <w:b/>
                <w:bCs/>
                <w:kern w:val="0"/>
                <w:sz w:val="24"/>
                <w:szCs w:val="24"/>
                <w:lang w:val="en-US" w:eastAsia="en-US" w:bidi="ar-SA"/>
              </w:rPr>
              <w:t>Typical Source of</w:t>
            </w:r>
          </w:p>
          <w:p>
            <w:pPr>
              <w:pStyle w:val="Normal"/>
              <w:widowControl w:val="false"/>
              <w:suppressAutoHyphens w:val="true"/>
              <w:spacing w:before="0" w:after="0"/>
              <w:jc w:val="center"/>
              <w:rPr>
                <w:rFonts w:ascii="Arial" w:hAnsi="Arial" w:cs="Arial"/>
                <w:b/>
                <w:b/>
                <w:bCs/>
                <w:sz w:val="24"/>
                <w:szCs w:val="24"/>
              </w:rPr>
            </w:pPr>
            <w:r>
              <w:rPr>
                <w:rFonts w:eastAsia="Times New Roman" w:cs="Arial" w:ascii="Arial" w:hAnsi="Arial"/>
                <w:b/>
                <w:bCs/>
                <w:kern w:val="0"/>
                <w:sz w:val="24"/>
                <w:szCs w:val="24"/>
                <w:lang w:val="en-US" w:eastAsia="en-US" w:bidi="ar-SA"/>
              </w:rPr>
              <w:t>Contaminant</w:t>
            </w:r>
          </w:p>
        </w:tc>
      </w:tr>
      <w:tr>
        <w:trPr/>
        <w:tc>
          <w:tcPr>
            <w:tcW w:w="985" w:type="dxa"/>
            <w:tcBorders/>
          </w:tcPr>
          <w:p>
            <w:pPr>
              <w:pStyle w:val="Normal"/>
              <w:widowControl w:val="false"/>
              <w:suppressAutoHyphens w:val="true"/>
              <w:spacing w:before="40" w:after="40"/>
              <w:jc w:val="left"/>
              <w:rPr>
                <w:rFonts w:ascii="Arial" w:hAnsi="Arial" w:cs="Arial"/>
                <w:sz w:val="24"/>
                <w:szCs w:val="24"/>
              </w:rPr>
            </w:pPr>
            <w:r>
              <w:rPr>
                <w:rFonts w:eastAsia="Times New Roman" w:cs="Arial" w:ascii="Arial" w:hAnsi="Arial"/>
                <w:kern w:val="0"/>
                <w:sz w:val="24"/>
                <w:szCs w:val="24"/>
                <w:lang w:val="en-US" w:eastAsia="en-US" w:bidi="ar-SA"/>
              </w:rPr>
              <w:t>Lead (ppb)</w:t>
            </w:r>
          </w:p>
        </w:tc>
        <w:tc>
          <w:tcPr>
            <w:tcW w:w="1440" w:type="dxa"/>
            <w:tcBorders/>
          </w:tcPr>
          <w:p>
            <w:pPr>
              <w:pStyle w:val="Normal"/>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08-14-2018</w:t>
            </w:r>
          </w:p>
        </w:tc>
        <w:tc>
          <w:tcPr>
            <w:tcW w:w="900"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5</w:t>
            </w:r>
          </w:p>
        </w:tc>
        <w:tc>
          <w:tcPr>
            <w:tcW w:w="989"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0</w:t>
            </w:r>
          </w:p>
        </w:tc>
        <w:tc>
          <w:tcPr>
            <w:tcW w:w="901"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0</w:t>
            </w:r>
          </w:p>
        </w:tc>
        <w:tc>
          <w:tcPr>
            <w:tcW w:w="539"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15</w:t>
            </w:r>
          </w:p>
        </w:tc>
        <w:tc>
          <w:tcPr>
            <w:tcW w:w="540"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0.2</w:t>
            </w:r>
          </w:p>
        </w:tc>
        <w:tc>
          <w:tcPr>
            <w:tcW w:w="1350"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color w:val="000000" w:themeColor="text1"/>
                <w:kern w:val="0"/>
                <w:sz w:val="24"/>
                <w:szCs w:val="24"/>
                <w:lang w:val="en-US" w:eastAsia="en-US" w:bidi="ar-SA"/>
              </w:rPr>
              <w:t>0</w:t>
            </w:r>
          </w:p>
        </w:tc>
        <w:tc>
          <w:tcPr>
            <w:tcW w:w="3240" w:type="dxa"/>
            <w:tcBorders/>
            <w:tcMar>
              <w:left w:w="108" w:type="dxa"/>
              <w:right w:w="108" w:type="dxa"/>
            </w:tcMar>
          </w:tcPr>
          <w:p>
            <w:pPr>
              <w:pStyle w:val="Normal"/>
              <w:widowControl w:val="false"/>
              <w:suppressAutoHyphens w:val="true"/>
              <w:spacing w:before="40" w:after="40"/>
              <w:jc w:val="left"/>
              <w:rPr>
                <w:rFonts w:ascii="Arial" w:hAnsi="Arial" w:cs="Arial"/>
                <w:sz w:val="24"/>
                <w:szCs w:val="24"/>
              </w:rPr>
            </w:pPr>
            <w:r>
              <w:rPr>
                <w:rFonts w:eastAsia="Times New Roman" w:cs="Arial" w:ascii="Arial" w:hAnsi="Arial"/>
                <w:kern w:val="0"/>
                <w:sz w:val="24"/>
                <w:szCs w:val="24"/>
                <w:lang w:val="en-US" w:eastAsia="en-US" w:bidi="ar-SA"/>
              </w:rPr>
              <w:t>Internal corrosion of household water plumbing systems; discharges from industrial manufacturers; erosion of natural deposits</w:t>
            </w:r>
          </w:p>
        </w:tc>
      </w:tr>
      <w:tr>
        <w:trPr/>
        <w:tc>
          <w:tcPr>
            <w:tcW w:w="985" w:type="dxa"/>
            <w:tcBorders/>
          </w:tcPr>
          <w:p>
            <w:pPr>
              <w:pStyle w:val="Normal"/>
              <w:widowControl w:val="false"/>
              <w:suppressAutoHyphens w:val="true"/>
              <w:spacing w:before="40" w:after="40"/>
              <w:jc w:val="left"/>
              <w:rPr>
                <w:rFonts w:ascii="Arial" w:hAnsi="Arial" w:cs="Arial"/>
                <w:sz w:val="24"/>
                <w:szCs w:val="24"/>
              </w:rPr>
            </w:pPr>
            <w:r>
              <w:rPr>
                <w:rFonts w:eastAsia="Times New Roman" w:cs="Arial" w:ascii="Arial" w:hAnsi="Arial"/>
                <w:kern w:val="0"/>
                <w:sz w:val="24"/>
                <w:szCs w:val="24"/>
                <w:lang w:val="en-US" w:eastAsia="en-US" w:bidi="ar-SA"/>
              </w:rPr>
              <w:t>Copper (ppm)</w:t>
            </w:r>
          </w:p>
        </w:tc>
        <w:tc>
          <w:tcPr>
            <w:tcW w:w="1440"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08/14/2018</w:t>
            </w:r>
          </w:p>
        </w:tc>
        <w:tc>
          <w:tcPr>
            <w:tcW w:w="900"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5</w:t>
            </w:r>
          </w:p>
        </w:tc>
        <w:tc>
          <w:tcPr>
            <w:tcW w:w="989"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0.22</w:t>
            </w:r>
          </w:p>
        </w:tc>
        <w:tc>
          <w:tcPr>
            <w:tcW w:w="901"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0</w:t>
            </w:r>
          </w:p>
        </w:tc>
        <w:tc>
          <w:tcPr>
            <w:tcW w:w="539"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1.3</w:t>
            </w:r>
          </w:p>
        </w:tc>
        <w:tc>
          <w:tcPr>
            <w:tcW w:w="540"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0.3</w:t>
            </w:r>
          </w:p>
        </w:tc>
        <w:tc>
          <w:tcPr>
            <w:tcW w:w="1350"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Not</w:t>
            </w:r>
          </w:p>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applicable</w:t>
            </w:r>
          </w:p>
        </w:tc>
        <w:tc>
          <w:tcPr>
            <w:tcW w:w="3240" w:type="dxa"/>
            <w:tcBorders/>
            <w:tcMar>
              <w:left w:w="108" w:type="dxa"/>
              <w:right w:w="108" w:type="dxa"/>
            </w:tcMar>
          </w:tcPr>
          <w:p>
            <w:pPr>
              <w:pStyle w:val="Normal"/>
              <w:widowControl w:val="false"/>
              <w:suppressAutoHyphens w:val="true"/>
              <w:spacing w:before="40" w:after="40"/>
              <w:jc w:val="left"/>
              <w:rPr>
                <w:rFonts w:ascii="Arial" w:hAnsi="Arial" w:cs="Arial"/>
                <w:sz w:val="24"/>
                <w:szCs w:val="24"/>
              </w:rPr>
            </w:pPr>
            <w:r>
              <w:rPr>
                <w:rFonts w:eastAsia="Times New Roman" w:cs="Arial" w:ascii="Arial" w:hAnsi="Arial"/>
                <w:kern w:val="0"/>
                <w:sz w:val="24"/>
                <w:szCs w:val="24"/>
                <w:lang w:val="en-US" w:eastAsia="en-US" w:bidi="ar-SA"/>
              </w:rPr>
              <w:t>Internal corrosion of household plumbing systems; erosion of natural deposits; leaching from wood preservatives</w:t>
            </w:r>
          </w:p>
        </w:tc>
      </w:tr>
    </w:tbl>
    <w:p>
      <w:pPr>
        <w:pStyle w:val="Caption1"/>
        <w:rPr/>
      </w:pPr>
      <w:r>
        <w:rPr/>
        <w:t xml:space="preserve">Table </w:t>
      </w:r>
      <w:r>
        <w:rPr/>
        <w:fldChar w:fldCharType="begin"/>
      </w:r>
      <w:r>
        <w:rPr/>
        <w:instrText> SEQ Table \* ARABIC </w:instrText>
      </w:r>
      <w:r>
        <w:rPr/>
        <w:fldChar w:fldCharType="separate"/>
      </w:r>
      <w:r>
        <w:rPr/>
        <w:t>3</w:t>
      </w:r>
      <w:r>
        <w:rPr/>
        <w:fldChar w:fldCharType="end"/>
      </w:r>
      <w:r>
        <w:rPr/>
        <w:t>.  Sampling Results for Sodium and Hardness</w:t>
      </w:r>
    </w:p>
    <w:tbl>
      <w:tblPr>
        <w:tblStyle w:val="TableGrid"/>
        <w:tblW w:w="10836" w:type="dxa"/>
        <w:jc w:val="left"/>
        <w:tblInd w:w="0" w:type="dxa"/>
        <w:tblLayout w:type="fixed"/>
        <w:tblCellMar>
          <w:top w:w="0" w:type="dxa"/>
          <w:left w:w="58" w:type="dxa"/>
          <w:bottom w:w="0" w:type="dxa"/>
          <w:right w:w="58" w:type="dxa"/>
        </w:tblCellMar>
        <w:tblLook w:firstRow="1" w:noVBand="0" w:lastRow="0" w:firstColumn="0" w:lastColumn="0" w:noHBand="0" w:val="0020"/>
      </w:tblPr>
      <w:tblGrid>
        <w:gridCol w:w="2249"/>
        <w:gridCol w:w="1346"/>
        <w:gridCol w:w="1259"/>
        <w:gridCol w:w="1530"/>
        <w:gridCol w:w="812"/>
        <w:gridCol w:w="1079"/>
        <w:gridCol w:w="2560"/>
      </w:tblGrid>
      <w:tr>
        <w:trPr/>
        <w:tc>
          <w:tcPr>
            <w:tcW w:w="2249"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Chemical or Constituent (and reporting units)</w:t>
            </w:r>
          </w:p>
        </w:tc>
        <w:tc>
          <w:tcPr>
            <w:tcW w:w="1346"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Sample Date</w:t>
            </w:r>
          </w:p>
        </w:tc>
        <w:tc>
          <w:tcPr>
            <w:tcW w:w="1259"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Level Detected</w:t>
            </w:r>
          </w:p>
        </w:tc>
        <w:tc>
          <w:tcPr>
            <w:tcW w:w="1530"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Range of Detections</w:t>
            </w:r>
          </w:p>
        </w:tc>
        <w:tc>
          <w:tcPr>
            <w:tcW w:w="812"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MCL</w:t>
            </w:r>
          </w:p>
        </w:tc>
        <w:tc>
          <w:tcPr>
            <w:tcW w:w="1079"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PHG (MCLG)</w:t>
            </w:r>
          </w:p>
        </w:tc>
        <w:tc>
          <w:tcPr>
            <w:tcW w:w="2560"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Typical Source of Contaminant</w:t>
            </w:r>
          </w:p>
        </w:tc>
      </w:tr>
      <w:tr>
        <w:trPr>
          <w:trHeight w:val="432" w:hRule="atLeast"/>
        </w:trPr>
        <w:tc>
          <w:tcPr>
            <w:tcW w:w="2249" w:type="dxa"/>
            <w:tcBorders/>
            <w:tcMar>
              <w:left w:w="108" w:type="dxa"/>
              <w:right w:w="108" w:type="dxa"/>
            </w:tcMar>
          </w:tcPr>
          <w:p>
            <w:pPr>
              <w:pStyle w:val="Normal"/>
              <w:widowControl w:val="false"/>
              <w:suppressAutoHyphens w:val="true"/>
              <w:spacing w:before="40" w:after="40"/>
              <w:jc w:val="left"/>
              <w:rPr>
                <w:rFonts w:ascii="Arial" w:hAnsi="Arial" w:cs="Arial"/>
                <w:sz w:val="24"/>
                <w:szCs w:val="24"/>
              </w:rPr>
            </w:pPr>
            <w:r>
              <w:rPr>
                <w:rFonts w:eastAsia="Times New Roman" w:cs="Arial" w:ascii="Arial" w:hAnsi="Arial"/>
                <w:kern w:val="0"/>
                <w:sz w:val="24"/>
                <w:szCs w:val="24"/>
                <w:lang w:val="en-US" w:eastAsia="en-US" w:bidi="ar-SA"/>
              </w:rPr>
              <w:t>Sodium (ppm)</w:t>
            </w:r>
          </w:p>
        </w:tc>
        <w:tc>
          <w:tcPr>
            <w:tcW w:w="1346" w:type="dxa"/>
            <w:tcBorders/>
          </w:tcPr>
          <w:p>
            <w:pPr>
              <w:pStyle w:val="Normal"/>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6/21/2019</w:t>
            </w:r>
          </w:p>
        </w:tc>
        <w:tc>
          <w:tcPr>
            <w:tcW w:w="1259"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17 mg/l</w:t>
            </w:r>
          </w:p>
        </w:tc>
        <w:tc>
          <w:tcPr>
            <w:tcW w:w="1530"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FFFFFF" w:themeColor="background1"/>
                <w:kern w:val="0"/>
                <w:sz w:val="24"/>
                <w:szCs w:val="24"/>
                <w:lang w:val="en-US" w:eastAsia="en-US" w:bidi="ar-SA"/>
              </w:rPr>
              <w:t>Na</w:t>
            </w:r>
          </w:p>
          <w:p>
            <w:pPr>
              <w:pStyle w:val="Normal"/>
              <w:widowControl w:val="false"/>
              <w:suppressAutoHyphens w:val="true"/>
              <w:spacing w:before="40" w:after="40"/>
              <w:jc w:val="center"/>
              <w:rPr>
                <w:rFonts w:ascii="Arial" w:hAnsi="Arial" w:cs="Arial"/>
                <w:color w:val="FFFFFF" w:themeColor="background1"/>
                <w:sz w:val="24"/>
                <w:szCs w:val="24"/>
              </w:rPr>
            </w:pPr>
            <w:r>
              <w:rPr>
                <w:rFonts w:cs="Arial" w:ascii="Arial" w:hAnsi="Arial"/>
                <w:color w:val="FFFFFF" w:themeColor="background1"/>
                <w:sz w:val="24"/>
                <w:szCs w:val="24"/>
              </w:rPr>
            </w:r>
          </w:p>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kern w:val="0"/>
                <w:sz w:val="24"/>
                <w:szCs w:val="24"/>
                <w:lang w:val="en-US" w:eastAsia="en-US" w:bidi="ar-SA"/>
              </w:rPr>
              <w:t>na</w:t>
            </w:r>
            <w:r>
              <w:rPr>
                <w:rFonts w:eastAsia="Times New Roman" w:cs="Arial" w:ascii="Arial" w:hAnsi="Arial"/>
                <w:color w:val="FFFFFF" w:themeColor="background1"/>
                <w:kern w:val="0"/>
                <w:sz w:val="24"/>
                <w:szCs w:val="24"/>
                <w:lang w:val="en-US" w:eastAsia="en-US" w:bidi="ar-SA"/>
              </w:rPr>
              <w:t>a</w:t>
            </w:r>
          </w:p>
        </w:tc>
        <w:tc>
          <w:tcPr>
            <w:tcW w:w="812"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None</w:t>
            </w:r>
          </w:p>
        </w:tc>
        <w:tc>
          <w:tcPr>
            <w:tcW w:w="1079"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None</w:t>
            </w:r>
          </w:p>
        </w:tc>
        <w:tc>
          <w:tcPr>
            <w:tcW w:w="2560" w:type="dxa"/>
            <w:tcBorders/>
          </w:tcPr>
          <w:p>
            <w:pPr>
              <w:pStyle w:val="Normal"/>
              <w:widowControl w:val="false"/>
              <w:suppressAutoHyphens w:val="true"/>
              <w:spacing w:before="40" w:after="40"/>
              <w:jc w:val="left"/>
              <w:rPr>
                <w:rFonts w:ascii="Arial" w:hAnsi="Arial" w:cs="Arial"/>
                <w:sz w:val="24"/>
                <w:szCs w:val="24"/>
              </w:rPr>
            </w:pPr>
            <w:r>
              <w:rPr>
                <w:rFonts w:eastAsia="Times New Roman" w:cs="Arial" w:ascii="Arial" w:hAnsi="Arial"/>
                <w:kern w:val="0"/>
                <w:sz w:val="24"/>
                <w:szCs w:val="24"/>
                <w:lang w:val="en-US" w:eastAsia="en-US" w:bidi="ar-SA"/>
              </w:rPr>
              <w:t>Salt present in the water and is generally naturally occurring</w:t>
            </w:r>
          </w:p>
        </w:tc>
      </w:tr>
      <w:tr>
        <w:trPr/>
        <w:tc>
          <w:tcPr>
            <w:tcW w:w="2249" w:type="dxa"/>
            <w:tcBorders/>
            <w:tcMar>
              <w:left w:w="108" w:type="dxa"/>
              <w:right w:w="108" w:type="dxa"/>
            </w:tcMar>
          </w:tcPr>
          <w:p>
            <w:pPr>
              <w:pStyle w:val="Normal"/>
              <w:widowControl w:val="false"/>
              <w:suppressAutoHyphens w:val="true"/>
              <w:spacing w:before="40" w:after="40"/>
              <w:jc w:val="left"/>
              <w:rPr>
                <w:rFonts w:ascii="Arial" w:hAnsi="Arial" w:cs="Arial"/>
                <w:sz w:val="24"/>
                <w:szCs w:val="24"/>
              </w:rPr>
            </w:pPr>
            <w:r>
              <w:rPr>
                <w:rFonts w:eastAsia="Times New Roman" w:cs="Arial" w:ascii="Arial" w:hAnsi="Arial"/>
                <w:kern w:val="0"/>
                <w:sz w:val="24"/>
                <w:szCs w:val="24"/>
                <w:lang w:val="en-US" w:eastAsia="en-US" w:bidi="ar-SA"/>
              </w:rPr>
              <w:t>Hardness (ppm)</w:t>
            </w:r>
          </w:p>
        </w:tc>
        <w:tc>
          <w:tcPr>
            <w:tcW w:w="1346" w:type="dxa"/>
            <w:tcBorders/>
          </w:tcPr>
          <w:p>
            <w:pPr>
              <w:pStyle w:val="Normal"/>
              <w:widowControl w:val="false"/>
              <w:rPr>
                <w:sz w:val="24"/>
                <w:szCs w:val="24"/>
              </w:rPr>
            </w:pPr>
            <w:r>
              <w:rPr>
                <w:sz w:val="24"/>
                <w:szCs w:val="24"/>
              </w:rPr>
              <w:t>6/21/2019</w:t>
            </w:r>
          </w:p>
        </w:tc>
        <w:tc>
          <w:tcPr>
            <w:tcW w:w="1259" w:type="dxa"/>
            <w:tcBorders/>
          </w:tcPr>
          <w:p>
            <w:pPr>
              <w:pStyle w:val="Normal"/>
              <w:widowControl w:val="false"/>
              <w:rPr>
                <w:rFonts w:ascii="Arial" w:hAnsi="Arial" w:cs="Arial"/>
                <w:color w:val="FFFFFF" w:themeColor="background1"/>
                <w:sz w:val="24"/>
                <w:szCs w:val="24"/>
              </w:rPr>
            </w:pPr>
            <w:r>
              <w:rPr>
                <w:rFonts w:eastAsia="Times New Roman" w:cs="Arial" w:ascii="Arial" w:hAnsi="Arial"/>
                <w:color w:val="FFFFFF"/>
                <w:kern w:val="0"/>
                <w:sz w:val="24"/>
                <w:szCs w:val="24"/>
                <w:lang w:val="en-US" w:eastAsia="en-US" w:bidi="ar-SA"/>
              </w:rPr>
              <w:t>63</w:t>
            </w:r>
            <w:r>
              <w:rPr>
                <w:rFonts w:eastAsia="Times New Roman" w:cs="Arial" w:ascii="Arial" w:hAnsi="Arial"/>
                <w:color w:val="FFFFFF" w:themeColor="background1"/>
                <w:kern w:val="0"/>
                <w:sz w:val="24"/>
                <w:szCs w:val="24"/>
                <w:lang w:val="en-US" w:eastAsia="en-US" w:bidi="ar-SA"/>
              </w:rPr>
              <w:t>63</w:t>
            </w:r>
            <w:r>
              <w:rPr>
                <w:sz w:val="24"/>
                <w:szCs w:val="24"/>
              </w:rPr>
              <w:t>63 mg/l</w:t>
            </w:r>
          </w:p>
        </w:tc>
        <w:tc>
          <w:tcPr>
            <w:tcW w:w="1530" w:type="dxa"/>
            <w:tcBorders/>
          </w:tcPr>
          <w:p>
            <w:pPr>
              <w:pStyle w:val="Normal"/>
              <w:widowControl w:val="false"/>
              <w:rPr>
                <w:sz w:val="24"/>
                <w:szCs w:val="24"/>
              </w:rPr>
            </w:pPr>
            <w:r>
              <w:rPr>
                <w:sz w:val="24"/>
                <w:szCs w:val="24"/>
              </w:rPr>
              <w:t>Na</w:t>
            </w:r>
          </w:p>
          <w:p>
            <w:pPr>
              <w:pStyle w:val="Normal"/>
              <w:widowControl w:val="false"/>
              <w:rPr>
                <w:sz w:val="24"/>
                <w:szCs w:val="24"/>
              </w:rPr>
            </w:pPr>
            <w:r>
              <w:rPr>
                <w:sz w:val="24"/>
                <w:szCs w:val="24"/>
              </w:rPr>
            </w:r>
          </w:p>
        </w:tc>
        <w:tc>
          <w:tcPr>
            <w:tcW w:w="812"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None</w:t>
            </w:r>
          </w:p>
        </w:tc>
        <w:tc>
          <w:tcPr>
            <w:tcW w:w="1079"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None</w:t>
            </w:r>
          </w:p>
        </w:tc>
        <w:tc>
          <w:tcPr>
            <w:tcW w:w="2560" w:type="dxa"/>
            <w:tcBorders/>
          </w:tcPr>
          <w:p>
            <w:pPr>
              <w:pStyle w:val="Normal"/>
              <w:widowControl w:val="false"/>
              <w:suppressAutoHyphens w:val="true"/>
              <w:spacing w:before="40" w:after="40"/>
              <w:jc w:val="left"/>
              <w:rPr>
                <w:rFonts w:ascii="Arial" w:hAnsi="Arial" w:cs="Arial"/>
                <w:sz w:val="24"/>
                <w:szCs w:val="24"/>
              </w:rPr>
            </w:pPr>
            <w:r>
              <w:rPr>
                <w:rFonts w:eastAsia="Times New Roman" w:cs="Arial" w:ascii="Arial" w:hAnsi="Arial"/>
                <w:kern w:val="0"/>
                <w:sz w:val="24"/>
                <w:szCs w:val="24"/>
                <w:lang w:val="en-US" w:eastAsia="en-US" w:bidi="ar-SA"/>
              </w:rPr>
              <w:t>Sum of polyvalent cations present in the water, generally magnesium and calcium, and are usually naturally occurring</w:t>
            </w:r>
          </w:p>
        </w:tc>
      </w:tr>
    </w:tbl>
    <w:p>
      <w:pPr>
        <w:pStyle w:val="Caption1"/>
        <w:rPr/>
      </w:pPr>
      <w:r>
        <w:rPr/>
        <w:t xml:space="preserve">Table </w:t>
      </w:r>
      <w:r>
        <w:rPr/>
        <w:fldChar w:fldCharType="begin"/>
      </w:r>
      <w:r>
        <w:rPr/>
        <w:instrText> SEQ Table \* ARABIC </w:instrText>
      </w:r>
      <w:r>
        <w:rPr/>
        <w:fldChar w:fldCharType="separate"/>
      </w:r>
      <w:r>
        <w:rPr/>
        <w:t>4</w:t>
      </w:r>
      <w:r>
        <w:rPr/>
        <w:fldChar w:fldCharType="end"/>
      </w:r>
      <w:r>
        <w:rPr/>
        <w:t>.  Detection of Contaminants with a Primary Drinking Water Standard</w:t>
      </w:r>
    </w:p>
    <w:tbl>
      <w:tblPr>
        <w:tblStyle w:val="TableGrid"/>
        <w:tblW w:w="10836" w:type="dxa"/>
        <w:jc w:val="left"/>
        <w:tblInd w:w="0" w:type="dxa"/>
        <w:tblLayout w:type="fixed"/>
        <w:tblCellMar>
          <w:top w:w="0" w:type="dxa"/>
          <w:left w:w="108" w:type="dxa"/>
          <w:bottom w:w="0" w:type="dxa"/>
          <w:right w:w="108" w:type="dxa"/>
        </w:tblCellMar>
        <w:tblLook w:firstRow="1" w:noVBand="0" w:lastRow="0" w:firstColumn="0" w:lastColumn="0" w:noHBand="0" w:val="0020"/>
      </w:tblPr>
      <w:tblGrid>
        <w:gridCol w:w="2245"/>
        <w:gridCol w:w="1440"/>
        <w:gridCol w:w="1259"/>
        <w:gridCol w:w="1530"/>
        <w:gridCol w:w="1170"/>
        <w:gridCol w:w="1264"/>
        <w:gridCol w:w="1927"/>
      </w:tblGrid>
      <w:tr>
        <w:trPr>
          <w:trHeight w:val="1511" w:hRule="atLeast"/>
          <w:cantSplit w:val="true"/>
        </w:trPr>
        <w:tc>
          <w:tcPr>
            <w:tcW w:w="2245" w:type="dxa"/>
            <w:tcBorders/>
            <w:vAlign w:val="center"/>
          </w:tcPr>
          <w:p>
            <w:pPr>
              <w:pStyle w:val="Normal"/>
              <w:keepNext w:val="true"/>
              <w:keepLines/>
              <w:widowControl w:val="false"/>
              <w:suppressAutoHyphens w:val="true"/>
              <w:spacing w:before="0" w:after="0"/>
              <w:jc w:val="center"/>
              <w:rPr>
                <w:rFonts w:ascii="Arial" w:hAnsi="Arial" w:cs="Arial"/>
                <w:b/>
                <w:b/>
                <w:sz w:val="24"/>
                <w:szCs w:val="24"/>
              </w:rPr>
            </w:pPr>
            <w:r>
              <w:rPr>
                <w:rFonts w:eastAsia="Times New Roman" w:cs="Arial" w:ascii="Arial" w:hAnsi="Arial"/>
                <w:b/>
                <w:kern w:val="0"/>
                <w:sz w:val="24"/>
                <w:szCs w:val="24"/>
                <w:lang w:val="en-US" w:eastAsia="en-US" w:bidi="ar-SA"/>
              </w:rPr>
              <w:t>Chemical or Constituent</w:t>
            </w:r>
          </w:p>
          <w:p>
            <w:pPr>
              <w:pStyle w:val="Normal"/>
              <w:keepNext w:val="true"/>
              <w:keepLines/>
              <w:widowControl w:val="false"/>
              <w:suppressAutoHyphens w:val="true"/>
              <w:spacing w:before="0" w:after="0"/>
              <w:jc w:val="center"/>
              <w:rPr>
                <w:rFonts w:ascii="Arial" w:hAnsi="Arial" w:cs="Arial"/>
                <w:b/>
                <w:b/>
                <w:sz w:val="24"/>
                <w:szCs w:val="24"/>
              </w:rPr>
            </w:pPr>
            <w:r>
              <w:rPr>
                <w:rFonts w:eastAsia="Times New Roman" w:cs="Arial" w:ascii="Arial" w:hAnsi="Arial"/>
                <w:b/>
                <w:kern w:val="0"/>
                <w:sz w:val="24"/>
                <w:szCs w:val="24"/>
                <w:lang w:val="en-US" w:eastAsia="en-US" w:bidi="ar-SA"/>
              </w:rPr>
              <w:t>(and</w:t>
            </w:r>
          </w:p>
          <w:p>
            <w:pPr>
              <w:pStyle w:val="Normal"/>
              <w:keepNext w:val="true"/>
              <w:keepLines/>
              <w:widowControl w:val="false"/>
              <w:suppressAutoHyphens w:val="true"/>
              <w:spacing w:before="0" w:after="0"/>
              <w:jc w:val="center"/>
              <w:rPr>
                <w:rFonts w:ascii="Arial" w:hAnsi="Arial" w:cs="Arial"/>
                <w:b/>
                <w:b/>
                <w:sz w:val="24"/>
                <w:szCs w:val="24"/>
              </w:rPr>
            </w:pPr>
            <w:r>
              <w:rPr>
                <w:rFonts w:eastAsia="Times New Roman" w:cs="Arial" w:ascii="Arial" w:hAnsi="Arial"/>
                <w:b/>
                <w:kern w:val="0"/>
                <w:sz w:val="24"/>
                <w:szCs w:val="24"/>
                <w:lang w:val="en-US" w:eastAsia="en-US" w:bidi="ar-SA"/>
              </w:rPr>
              <w:t>reporting units)</w:t>
            </w:r>
          </w:p>
        </w:tc>
        <w:tc>
          <w:tcPr>
            <w:tcW w:w="1440" w:type="dxa"/>
            <w:tcBorders/>
            <w:vAlign w:val="center"/>
          </w:tcPr>
          <w:p>
            <w:pPr>
              <w:pStyle w:val="Normal"/>
              <w:keepNext w:val="true"/>
              <w:keepLines/>
              <w:widowControl w:val="false"/>
              <w:suppressAutoHyphens w:val="true"/>
              <w:spacing w:before="0" w:after="0"/>
              <w:jc w:val="center"/>
              <w:rPr>
                <w:rFonts w:ascii="Arial" w:hAnsi="Arial" w:cs="Arial"/>
                <w:b/>
                <w:b/>
                <w:sz w:val="24"/>
                <w:szCs w:val="24"/>
              </w:rPr>
            </w:pPr>
            <w:r>
              <w:rPr>
                <w:rFonts w:eastAsia="Times New Roman" w:cs="Arial" w:ascii="Arial" w:hAnsi="Arial"/>
                <w:b/>
                <w:kern w:val="0"/>
                <w:sz w:val="24"/>
                <w:szCs w:val="24"/>
                <w:lang w:val="en-US" w:eastAsia="en-US" w:bidi="ar-SA"/>
              </w:rPr>
              <w:t>Sample Date</w:t>
            </w:r>
          </w:p>
        </w:tc>
        <w:tc>
          <w:tcPr>
            <w:tcW w:w="1259" w:type="dxa"/>
            <w:tcBorders/>
            <w:tcMar>
              <w:left w:w="72" w:type="dxa"/>
              <w:right w:w="72" w:type="dxa"/>
            </w:tcMar>
            <w:vAlign w:val="center"/>
          </w:tcPr>
          <w:p>
            <w:pPr>
              <w:pStyle w:val="Normal"/>
              <w:keepNext w:val="true"/>
              <w:keepLines/>
              <w:widowControl w:val="false"/>
              <w:suppressAutoHyphens w:val="true"/>
              <w:spacing w:before="0" w:after="0"/>
              <w:jc w:val="center"/>
              <w:rPr>
                <w:rFonts w:ascii="Arial" w:hAnsi="Arial" w:cs="Arial"/>
                <w:b/>
                <w:b/>
                <w:sz w:val="24"/>
                <w:szCs w:val="24"/>
              </w:rPr>
            </w:pPr>
            <w:r>
              <w:rPr>
                <w:rFonts w:eastAsia="Times New Roman" w:cs="Arial" w:ascii="Arial" w:hAnsi="Arial"/>
                <w:b/>
                <w:kern w:val="0"/>
                <w:sz w:val="24"/>
                <w:szCs w:val="24"/>
                <w:lang w:val="en-US" w:eastAsia="en-US" w:bidi="ar-SA"/>
              </w:rPr>
              <w:t>Level Detected</w:t>
            </w:r>
          </w:p>
        </w:tc>
        <w:tc>
          <w:tcPr>
            <w:tcW w:w="1530" w:type="dxa"/>
            <w:tcBorders/>
            <w:vAlign w:val="center"/>
          </w:tcPr>
          <w:p>
            <w:pPr>
              <w:pStyle w:val="Normal"/>
              <w:keepNext w:val="true"/>
              <w:keepLines/>
              <w:widowControl w:val="false"/>
              <w:suppressAutoHyphens w:val="true"/>
              <w:spacing w:before="0" w:after="0"/>
              <w:jc w:val="center"/>
              <w:rPr>
                <w:rFonts w:ascii="Arial" w:hAnsi="Arial" w:cs="Arial"/>
                <w:b/>
                <w:b/>
                <w:sz w:val="24"/>
                <w:szCs w:val="24"/>
              </w:rPr>
            </w:pPr>
            <w:r>
              <w:rPr>
                <w:rFonts w:eastAsia="Times New Roman" w:cs="Arial" w:ascii="Arial" w:hAnsi="Arial"/>
                <w:b/>
                <w:kern w:val="0"/>
                <w:sz w:val="24"/>
                <w:szCs w:val="24"/>
                <w:lang w:val="en-US" w:eastAsia="en-US" w:bidi="ar-SA"/>
              </w:rPr>
              <w:t>Range of Detections</w:t>
            </w:r>
          </w:p>
        </w:tc>
        <w:tc>
          <w:tcPr>
            <w:tcW w:w="1170" w:type="dxa"/>
            <w:tcBorders/>
            <w:vAlign w:val="center"/>
          </w:tcPr>
          <w:p>
            <w:pPr>
              <w:pStyle w:val="Normal"/>
              <w:keepNext w:val="true"/>
              <w:keepLines/>
              <w:widowControl w:val="false"/>
              <w:suppressAutoHyphens w:val="true"/>
              <w:spacing w:before="0" w:after="0"/>
              <w:jc w:val="center"/>
              <w:rPr>
                <w:rFonts w:ascii="Arial" w:hAnsi="Arial" w:cs="Arial"/>
                <w:b/>
                <w:b/>
                <w:sz w:val="24"/>
                <w:szCs w:val="24"/>
              </w:rPr>
            </w:pPr>
            <w:r>
              <w:rPr>
                <w:rFonts w:eastAsia="Times New Roman" w:cs="Arial" w:ascii="Arial" w:hAnsi="Arial"/>
                <w:b/>
                <w:kern w:val="0"/>
                <w:sz w:val="24"/>
                <w:szCs w:val="24"/>
                <w:lang w:val="en-US" w:eastAsia="en-US" w:bidi="ar-SA"/>
              </w:rPr>
              <w:t>MCL [MRDL]</w:t>
            </w:r>
          </w:p>
        </w:tc>
        <w:tc>
          <w:tcPr>
            <w:tcW w:w="1264" w:type="dxa"/>
            <w:tcBorders/>
            <w:vAlign w:val="center"/>
          </w:tcPr>
          <w:p>
            <w:pPr>
              <w:pStyle w:val="Normal"/>
              <w:keepNext w:val="true"/>
              <w:keepLines/>
              <w:widowControl w:val="false"/>
              <w:suppressAutoHyphens w:val="true"/>
              <w:spacing w:before="0" w:after="0"/>
              <w:jc w:val="center"/>
              <w:rPr>
                <w:rFonts w:ascii="Arial" w:hAnsi="Arial" w:cs="Arial"/>
                <w:b/>
                <w:b/>
                <w:sz w:val="24"/>
                <w:szCs w:val="24"/>
              </w:rPr>
            </w:pPr>
            <w:r>
              <w:rPr>
                <w:rFonts w:eastAsia="Times New Roman" w:cs="Arial" w:ascii="Arial" w:hAnsi="Arial"/>
                <w:b/>
                <w:kern w:val="0"/>
                <w:sz w:val="24"/>
                <w:szCs w:val="24"/>
                <w:lang w:val="en-US" w:eastAsia="en-US" w:bidi="ar-SA"/>
              </w:rPr>
              <w:t>PHG (MCLG) [MRDLG]</w:t>
            </w:r>
          </w:p>
        </w:tc>
        <w:tc>
          <w:tcPr>
            <w:tcW w:w="1927" w:type="dxa"/>
            <w:tcBorders/>
            <w:vAlign w:val="center"/>
          </w:tcPr>
          <w:p>
            <w:pPr>
              <w:pStyle w:val="Normal"/>
              <w:keepNext w:val="true"/>
              <w:keepLines/>
              <w:widowControl w:val="false"/>
              <w:suppressAutoHyphens w:val="true"/>
              <w:spacing w:before="0" w:after="0"/>
              <w:jc w:val="center"/>
              <w:rPr>
                <w:rFonts w:ascii="Arial" w:hAnsi="Arial" w:cs="Arial"/>
                <w:b/>
                <w:b/>
                <w:sz w:val="24"/>
                <w:szCs w:val="24"/>
              </w:rPr>
            </w:pPr>
            <w:r>
              <w:rPr>
                <w:rFonts w:eastAsia="Times New Roman" w:cs="Arial" w:ascii="Arial" w:hAnsi="Arial"/>
                <w:b/>
                <w:kern w:val="0"/>
                <w:sz w:val="24"/>
                <w:szCs w:val="24"/>
                <w:lang w:val="en-US" w:eastAsia="en-US" w:bidi="ar-SA"/>
              </w:rPr>
              <w:t>Typical Source of Contaminant</w:t>
            </w:r>
          </w:p>
        </w:tc>
      </w:tr>
      <w:tr>
        <w:trPr>
          <w:trHeight w:val="432" w:hRule="atLeast"/>
        </w:trPr>
        <w:tc>
          <w:tcPr>
            <w:tcW w:w="2245" w:type="dxa"/>
            <w:tcBorders/>
            <w:tcMar>
              <w:left w:w="58" w:type="dxa"/>
              <w:right w:w="58" w:type="dxa"/>
            </w:tcMar>
          </w:tcPr>
          <w:p>
            <w:pPr>
              <w:pStyle w:val="Normal"/>
              <w:keepNext w:val="true"/>
              <w:keepLines/>
              <w:widowControl w:val="false"/>
              <w:suppressAutoHyphens w:val="true"/>
              <w:spacing w:before="40" w:after="40"/>
              <w:ind w:left="30" w:hanging="0"/>
              <w:jc w:val="both"/>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Arsenic (ppb)</w:t>
            </w:r>
          </w:p>
        </w:tc>
        <w:tc>
          <w:tcPr>
            <w:tcW w:w="1440" w:type="dxa"/>
            <w:tcBorders/>
          </w:tcPr>
          <w:p>
            <w:pPr>
              <w:pStyle w:val="Normal"/>
              <w:keepNext w:val="true"/>
              <w:keepLines/>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6/21/2019</w:t>
            </w:r>
          </w:p>
        </w:tc>
        <w:tc>
          <w:tcPr>
            <w:tcW w:w="1259" w:type="dxa"/>
            <w:tcBorders/>
          </w:tcPr>
          <w:p>
            <w:pPr>
              <w:pStyle w:val="Normal"/>
              <w:keepNext w:val="true"/>
              <w:keepLines/>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[7.3</w:t>
            </w:r>
          </w:p>
        </w:tc>
        <w:tc>
          <w:tcPr>
            <w:tcW w:w="1530" w:type="dxa"/>
            <w:tcBorders/>
          </w:tcPr>
          <w:p>
            <w:pPr>
              <w:pStyle w:val="Normal"/>
              <w:keepNext w:val="true"/>
              <w:keepLines/>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na</w:t>
            </w:r>
          </w:p>
        </w:tc>
        <w:tc>
          <w:tcPr>
            <w:tcW w:w="1170" w:type="dxa"/>
            <w:tcBorders/>
          </w:tcPr>
          <w:p>
            <w:pPr>
              <w:pStyle w:val="Normal"/>
              <w:keepNext w:val="true"/>
              <w:keepLines/>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10</w:t>
            </w:r>
          </w:p>
        </w:tc>
        <w:tc>
          <w:tcPr>
            <w:tcW w:w="1264" w:type="dxa"/>
            <w:tcBorders/>
          </w:tcPr>
          <w:p>
            <w:pPr>
              <w:pStyle w:val="Normal"/>
              <w:keepNext w:val="true"/>
              <w:keepLines/>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2.0</w:t>
            </w:r>
          </w:p>
        </w:tc>
        <w:tc>
          <w:tcPr>
            <w:tcW w:w="1927" w:type="dxa"/>
            <w:tcBorders/>
          </w:tcPr>
          <w:p>
            <w:pPr>
              <w:pStyle w:val="Normal"/>
              <w:keepNext w:val="true"/>
              <w:keepLines/>
              <w:widowControl w:val="false"/>
              <w:spacing w:before="40" w:after="40"/>
              <w:rPr>
                <w:rFonts w:ascii="TimesNewRomanPSMT" w:hAnsi="TimesNewRomanPSMT" w:cs="TimesNewRomanPSMT"/>
                <w:sz w:val="24"/>
                <w:szCs w:val="24"/>
              </w:rPr>
            </w:pPr>
            <w:r>
              <w:rPr>
                <w:rFonts w:cs="TimesNewRomanPSMT" w:ascii="TimesNewRomanPSMT" w:hAnsi="TimesNewRomanPSMT"/>
                <w:sz w:val="24"/>
                <w:szCs w:val="24"/>
              </w:rPr>
              <w:t>Erosion of natural deposits;</w:t>
            </w:r>
          </w:p>
          <w:p>
            <w:pPr>
              <w:pStyle w:val="Normal"/>
              <w:keepNext w:val="true"/>
              <w:keepLines/>
              <w:widowControl w:val="false"/>
              <w:suppressAutoHyphens w:val="true"/>
              <w:spacing w:before="40" w:after="40"/>
              <w:jc w:val="left"/>
              <w:rPr>
                <w:rFonts w:ascii="Arial" w:hAnsi="Arial" w:cs="Arial"/>
                <w:color w:val="000000" w:themeColor="text1"/>
                <w:sz w:val="24"/>
                <w:szCs w:val="24"/>
              </w:rPr>
            </w:pPr>
            <w:r>
              <w:rPr>
                <w:rFonts w:eastAsia="Times New Roman" w:cs="TimesNewRomanPSMT" w:ascii="TimesNewRomanPSMT" w:hAnsi="TimesNewRomanPSMT"/>
                <w:color w:val="000000" w:themeColor="text1"/>
                <w:kern w:val="0"/>
                <w:sz w:val="24"/>
                <w:szCs w:val="24"/>
                <w:lang w:val="en-US" w:eastAsia="en-US" w:bidi="ar-SA"/>
              </w:rPr>
              <w:t>runoff from orchards; glass and electronics production wastes</w:t>
            </w:r>
          </w:p>
        </w:tc>
      </w:tr>
      <w:tr>
        <w:trPr>
          <w:trHeight w:val="432" w:hRule="atLeast"/>
        </w:trPr>
        <w:tc>
          <w:tcPr>
            <w:tcW w:w="2245" w:type="dxa"/>
            <w:tcBorders/>
            <w:tcMar>
              <w:left w:w="58" w:type="dxa"/>
              <w:right w:w="58" w:type="dxa"/>
            </w:tcMar>
          </w:tcPr>
          <w:p>
            <w:pPr>
              <w:pStyle w:val="Normal"/>
              <w:widowControl w:val="false"/>
              <w:suppressAutoHyphens w:val="true"/>
              <w:spacing w:before="40" w:after="40"/>
              <w:ind w:left="180" w:right="0" w:hanging="0"/>
              <w:jc w:val="both"/>
              <w:rPr>
                <w:rFonts w:ascii="Arial" w:hAnsi="Arial" w:cs="Arial"/>
                <w:color w:val="000000" w:themeColor="text1"/>
                <w:sz w:val="24"/>
                <w:szCs w:val="24"/>
              </w:rPr>
            </w:pPr>
            <w:r>
              <w:rPr>
                <w:rFonts w:eastAsia="Times New Roman" w:cs="TimesNewRomanPSMT" w:ascii="TimesNewRomanPSMT" w:hAnsi="TimesNewRomanPSMT"/>
                <w:color w:val="000000" w:themeColor="text1"/>
                <w:kern w:val="0"/>
                <w:sz w:val="24"/>
                <w:szCs w:val="24"/>
                <w:lang w:val="en-US" w:eastAsia="en-US" w:bidi="ar-SA"/>
              </w:rPr>
              <w:t>Fluoride (ppm)</w:t>
            </w:r>
          </w:p>
        </w:tc>
        <w:tc>
          <w:tcPr>
            <w:tcW w:w="1440" w:type="dxa"/>
            <w:tcBorders/>
          </w:tcPr>
          <w:p>
            <w:pPr>
              <w:pStyle w:val="Normal"/>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6/21/2019</w:t>
            </w:r>
          </w:p>
        </w:tc>
        <w:tc>
          <w:tcPr>
            <w:tcW w:w="1259" w:type="dxa"/>
            <w:tcBorders/>
          </w:tcPr>
          <w:p>
            <w:pPr>
              <w:pStyle w:val="Normal"/>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0.19</w:t>
            </w:r>
          </w:p>
        </w:tc>
        <w:tc>
          <w:tcPr>
            <w:tcW w:w="1530" w:type="dxa"/>
            <w:tcBorders/>
          </w:tcPr>
          <w:p>
            <w:pPr>
              <w:pStyle w:val="Normal"/>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na</w:t>
            </w:r>
          </w:p>
        </w:tc>
        <w:tc>
          <w:tcPr>
            <w:tcW w:w="1170" w:type="dxa"/>
            <w:tcBorders/>
          </w:tcPr>
          <w:p>
            <w:pPr>
              <w:pStyle w:val="Normal"/>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2.0</w:t>
            </w:r>
          </w:p>
        </w:tc>
        <w:tc>
          <w:tcPr>
            <w:tcW w:w="1264" w:type="dxa"/>
            <w:tcBorders/>
          </w:tcPr>
          <w:p>
            <w:pPr>
              <w:pStyle w:val="Normal"/>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0.1</w:t>
            </w:r>
          </w:p>
        </w:tc>
        <w:tc>
          <w:tcPr>
            <w:tcW w:w="1927" w:type="dxa"/>
            <w:tcBorders/>
          </w:tcPr>
          <w:p>
            <w:pPr>
              <w:pStyle w:val="Normal"/>
              <w:widowControl w:val="false"/>
              <w:spacing w:before="40" w:after="40"/>
              <w:rPr>
                <w:rFonts w:ascii="TimesNewRomanPSMT" w:hAnsi="TimesNewRomanPSMT" w:cs="TimesNewRomanPSMT"/>
                <w:sz w:val="24"/>
                <w:szCs w:val="24"/>
              </w:rPr>
            </w:pPr>
            <w:r>
              <w:rPr>
                <w:rFonts w:cs="TimesNewRomanPSMT" w:ascii="TimesNewRomanPSMT" w:hAnsi="TimesNewRomanPSMT"/>
                <w:sz w:val="24"/>
                <w:szCs w:val="24"/>
              </w:rPr>
              <w:t>Erosion of natural deposits;</w:t>
            </w:r>
          </w:p>
          <w:p>
            <w:pPr>
              <w:pStyle w:val="Normal"/>
              <w:widowControl w:val="false"/>
              <w:jc w:val="left"/>
              <w:rPr>
                <w:rFonts w:ascii="TimesNewRomanPSMT" w:hAnsi="TimesNewRomanPSMT" w:cs="TimesNewRomanPSMT"/>
                <w:sz w:val="24"/>
                <w:szCs w:val="24"/>
              </w:rPr>
            </w:pPr>
            <w:r>
              <w:rPr>
                <w:rFonts w:cs="TimesNewRomanPSMT" w:ascii="TimesNewRomanPSMT" w:hAnsi="TimesNewRomanPSMT"/>
                <w:sz w:val="24"/>
                <w:szCs w:val="24"/>
              </w:rPr>
              <w:t>water additive which</w:t>
            </w:r>
          </w:p>
          <w:p>
            <w:pPr>
              <w:pStyle w:val="Normal"/>
              <w:widowControl w:val="false"/>
              <w:jc w:val="left"/>
              <w:rPr>
                <w:rFonts w:ascii="TimesNewRomanPSMT" w:hAnsi="TimesNewRomanPSMT" w:cs="TimesNewRomanPSMT"/>
                <w:sz w:val="24"/>
                <w:szCs w:val="24"/>
              </w:rPr>
            </w:pPr>
            <w:r>
              <w:rPr>
                <w:rFonts w:cs="TimesNewRomanPSMT" w:ascii="TimesNewRomanPSMT" w:hAnsi="TimesNewRomanPSMT"/>
                <w:sz w:val="24"/>
                <w:szCs w:val="24"/>
              </w:rPr>
              <w:t>promotes strong teeth;</w:t>
            </w:r>
          </w:p>
          <w:p>
            <w:pPr>
              <w:pStyle w:val="Normal"/>
              <w:widowControl w:val="false"/>
              <w:jc w:val="left"/>
              <w:rPr>
                <w:rFonts w:ascii="TimesNewRomanPSMT" w:hAnsi="TimesNewRomanPSMT" w:cs="TimesNewRomanPSMT"/>
                <w:sz w:val="24"/>
                <w:szCs w:val="24"/>
              </w:rPr>
            </w:pPr>
            <w:r>
              <w:rPr>
                <w:rFonts w:cs="TimesNewRomanPSMT" w:ascii="TimesNewRomanPSMT" w:hAnsi="TimesNewRomanPSMT"/>
                <w:sz w:val="24"/>
                <w:szCs w:val="24"/>
              </w:rPr>
              <w:t>discharge from fertilizer and</w:t>
            </w:r>
          </w:p>
          <w:p>
            <w:pPr>
              <w:pStyle w:val="Normal"/>
              <w:widowControl w:val="false"/>
              <w:suppressAutoHyphens w:val="true"/>
              <w:spacing w:before="40" w:after="40"/>
              <w:jc w:val="center"/>
              <w:rPr>
                <w:rFonts w:ascii="Arial" w:hAnsi="Arial" w:cs="Arial"/>
                <w:color w:val="000000" w:themeColor="text1"/>
                <w:sz w:val="24"/>
                <w:szCs w:val="24"/>
              </w:rPr>
            </w:pPr>
            <w:r>
              <w:rPr>
                <w:rFonts w:eastAsia="Times New Roman" w:cs="TimesNewRomanPSMT" w:ascii="TimesNewRomanPSMT" w:hAnsi="TimesNewRomanPSMT"/>
                <w:color w:val="000000" w:themeColor="text1"/>
                <w:kern w:val="0"/>
                <w:sz w:val="24"/>
                <w:szCs w:val="24"/>
                <w:lang w:val="en-US" w:eastAsia="en-US" w:bidi="ar-SA"/>
              </w:rPr>
              <w:t>aluminum factories</w:t>
            </w:r>
          </w:p>
        </w:tc>
      </w:tr>
      <w:tr>
        <w:trPr>
          <w:trHeight w:val="432" w:hRule="atLeast"/>
        </w:trPr>
        <w:tc>
          <w:tcPr>
            <w:tcW w:w="2245" w:type="dxa"/>
            <w:tcBorders/>
            <w:tcMar>
              <w:left w:w="58" w:type="dxa"/>
              <w:right w:w="58" w:type="dxa"/>
            </w:tcMar>
          </w:tcPr>
          <w:p>
            <w:pPr>
              <w:pStyle w:val="Normal"/>
              <w:widowControl w:val="false"/>
              <w:suppressAutoHyphens w:val="true"/>
              <w:spacing w:before="40" w:after="40"/>
              <w:ind w:left="180" w:right="0" w:hanging="0"/>
              <w:jc w:val="both"/>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Turbidity (NTU)</w:t>
            </w:r>
          </w:p>
        </w:tc>
        <w:tc>
          <w:tcPr>
            <w:tcW w:w="1440" w:type="dxa"/>
            <w:tcBorders/>
          </w:tcPr>
          <w:p>
            <w:pPr>
              <w:pStyle w:val="Normal"/>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6/21/2019</w:t>
            </w:r>
          </w:p>
        </w:tc>
        <w:tc>
          <w:tcPr>
            <w:tcW w:w="1259" w:type="dxa"/>
            <w:tcBorders/>
          </w:tcPr>
          <w:p>
            <w:pPr>
              <w:pStyle w:val="Normal"/>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1.5</w:t>
            </w:r>
          </w:p>
        </w:tc>
        <w:tc>
          <w:tcPr>
            <w:tcW w:w="1530" w:type="dxa"/>
            <w:tcBorders/>
          </w:tcPr>
          <w:p>
            <w:pPr>
              <w:pStyle w:val="Normal"/>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na</w:t>
            </w:r>
          </w:p>
        </w:tc>
        <w:tc>
          <w:tcPr>
            <w:tcW w:w="1170" w:type="dxa"/>
            <w:tcBorders/>
          </w:tcPr>
          <w:p>
            <w:pPr>
              <w:pStyle w:val="Normal"/>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[5.0</w:t>
            </w:r>
          </w:p>
        </w:tc>
        <w:tc>
          <w:tcPr>
            <w:tcW w:w="1264" w:type="dxa"/>
            <w:tcBorders/>
          </w:tcPr>
          <w:p>
            <w:pPr>
              <w:pStyle w:val="Normal"/>
              <w:widowControl w:val="false"/>
              <w:suppressAutoHyphens w:val="true"/>
              <w:spacing w:before="40" w:after="40"/>
              <w:jc w:val="center"/>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[0.1</w:t>
            </w:r>
          </w:p>
        </w:tc>
        <w:tc>
          <w:tcPr>
            <w:tcW w:w="1927" w:type="dxa"/>
            <w:tcBorders/>
          </w:tcPr>
          <w:p>
            <w:pPr>
              <w:pStyle w:val="Normal"/>
              <w:widowControl w:val="false"/>
              <w:spacing w:before="40" w:after="40"/>
              <w:rPr>
                <w:rFonts w:ascii="TimesNewRomanPSMT" w:hAnsi="TimesNewRomanPSMT" w:cs="TimesNewRomanPSMT"/>
                <w:sz w:val="24"/>
                <w:szCs w:val="24"/>
              </w:rPr>
            </w:pPr>
            <w:r>
              <w:rPr>
                <w:rFonts w:cs="TimesNewRomanPSMT" w:ascii="TimesNewRomanPSMT" w:hAnsi="TimesNewRomanPSMT"/>
                <w:sz w:val="24"/>
                <w:szCs w:val="24"/>
              </w:rPr>
              <w:t>Turbidity has no health effects.</w:t>
            </w:r>
          </w:p>
          <w:p>
            <w:pPr>
              <w:pStyle w:val="Normal"/>
              <w:widowControl w:val="false"/>
              <w:jc w:val="left"/>
              <w:rPr>
                <w:rFonts w:ascii="TimesNewRomanPSMT" w:hAnsi="TimesNewRomanPSMT" w:cs="TimesNewRomanPSMT"/>
                <w:sz w:val="24"/>
                <w:szCs w:val="24"/>
              </w:rPr>
            </w:pPr>
            <w:r>
              <w:rPr>
                <w:rFonts w:cs="TimesNewRomanPSMT" w:ascii="TimesNewRomanPSMT" w:hAnsi="TimesNewRomanPSMT"/>
                <w:sz w:val="24"/>
                <w:szCs w:val="24"/>
              </w:rPr>
              <w:t>However, high levels of turbidity</w:t>
            </w:r>
          </w:p>
          <w:p>
            <w:pPr>
              <w:pStyle w:val="Normal"/>
              <w:widowControl w:val="false"/>
              <w:jc w:val="left"/>
              <w:rPr>
                <w:rFonts w:ascii="TimesNewRomanPSMT" w:hAnsi="TimesNewRomanPSMT" w:cs="TimesNewRomanPSMT"/>
                <w:sz w:val="24"/>
                <w:szCs w:val="24"/>
              </w:rPr>
            </w:pPr>
            <w:r>
              <w:rPr>
                <w:rFonts w:cs="TimesNewRomanPSMT" w:ascii="TimesNewRomanPSMT" w:hAnsi="TimesNewRomanPSMT"/>
                <w:sz w:val="24"/>
                <w:szCs w:val="24"/>
              </w:rPr>
              <w:t>can interfere with disinfection</w:t>
            </w:r>
          </w:p>
          <w:p>
            <w:pPr>
              <w:pStyle w:val="Normal"/>
              <w:widowControl w:val="false"/>
              <w:jc w:val="left"/>
              <w:rPr>
                <w:rFonts w:ascii="TimesNewRomanPSMT" w:hAnsi="TimesNewRomanPSMT" w:cs="TimesNewRomanPSMT"/>
                <w:sz w:val="24"/>
                <w:szCs w:val="24"/>
              </w:rPr>
            </w:pPr>
            <w:r>
              <w:rPr>
                <w:rFonts w:cs="TimesNewRomanPSMT" w:ascii="TimesNewRomanPSMT" w:hAnsi="TimesNewRomanPSMT"/>
                <w:sz w:val="24"/>
                <w:szCs w:val="24"/>
              </w:rPr>
              <w:t>and provide a medium for</w:t>
            </w:r>
          </w:p>
          <w:p>
            <w:pPr>
              <w:pStyle w:val="Normal"/>
              <w:widowControl w:val="false"/>
              <w:jc w:val="left"/>
              <w:rPr>
                <w:rFonts w:ascii="TimesNewRomanPSMT" w:hAnsi="TimesNewRomanPSMT" w:cs="TimesNewRomanPSMT"/>
                <w:sz w:val="24"/>
                <w:szCs w:val="24"/>
              </w:rPr>
            </w:pPr>
            <w:r>
              <w:rPr>
                <w:rFonts w:cs="TimesNewRomanPSMT" w:ascii="TimesNewRomanPSMT" w:hAnsi="TimesNewRomanPSMT"/>
                <w:sz w:val="24"/>
                <w:szCs w:val="24"/>
              </w:rPr>
              <w:t>microbial growth. Turbidity</w:t>
            </w:r>
          </w:p>
          <w:p>
            <w:pPr>
              <w:pStyle w:val="Normal"/>
              <w:widowControl w:val="false"/>
              <w:jc w:val="left"/>
              <w:rPr>
                <w:rFonts w:ascii="TimesNewRomanPSMT" w:hAnsi="TimesNewRomanPSMT" w:cs="TimesNewRomanPSMT"/>
                <w:sz w:val="24"/>
                <w:szCs w:val="24"/>
              </w:rPr>
            </w:pPr>
            <w:r>
              <w:rPr>
                <w:rFonts w:cs="TimesNewRomanPSMT" w:ascii="TimesNewRomanPSMT" w:hAnsi="TimesNewRomanPSMT"/>
                <w:sz w:val="24"/>
                <w:szCs w:val="24"/>
              </w:rPr>
              <w:t>may indicate the presence of</w:t>
            </w:r>
          </w:p>
          <w:p>
            <w:pPr>
              <w:pStyle w:val="Normal"/>
              <w:widowControl w:val="false"/>
              <w:jc w:val="left"/>
              <w:rPr>
                <w:rFonts w:ascii="TimesNewRomanPSMT" w:hAnsi="TimesNewRomanPSMT" w:cs="TimesNewRomanPSMT"/>
                <w:sz w:val="24"/>
                <w:szCs w:val="24"/>
              </w:rPr>
            </w:pPr>
            <w:r>
              <w:rPr>
                <w:rFonts w:cs="TimesNewRomanPSMT" w:ascii="TimesNewRomanPSMT" w:hAnsi="TimesNewRomanPSMT"/>
                <w:sz w:val="24"/>
                <w:szCs w:val="24"/>
              </w:rPr>
              <w:t>disease-causing organisms.</w:t>
            </w:r>
          </w:p>
          <w:p>
            <w:pPr>
              <w:pStyle w:val="Normal"/>
              <w:widowControl w:val="false"/>
              <w:jc w:val="left"/>
              <w:rPr>
                <w:rFonts w:ascii="TimesNewRomanPSMT" w:hAnsi="TimesNewRomanPSMT" w:cs="TimesNewRomanPSMT"/>
                <w:sz w:val="24"/>
                <w:szCs w:val="24"/>
              </w:rPr>
            </w:pPr>
            <w:r>
              <w:rPr>
                <w:rFonts w:cs="TimesNewRomanPSMT" w:ascii="TimesNewRomanPSMT" w:hAnsi="TimesNewRomanPSMT"/>
                <w:sz w:val="24"/>
                <w:szCs w:val="24"/>
              </w:rPr>
              <w:t>These organisms include</w:t>
            </w:r>
          </w:p>
          <w:p>
            <w:pPr>
              <w:pStyle w:val="Normal"/>
              <w:widowControl w:val="false"/>
              <w:jc w:val="left"/>
              <w:rPr>
                <w:rFonts w:ascii="TimesNewRomanPSMT" w:hAnsi="TimesNewRomanPSMT" w:cs="TimesNewRomanPSMT"/>
                <w:sz w:val="24"/>
                <w:szCs w:val="24"/>
              </w:rPr>
            </w:pPr>
            <w:r>
              <w:rPr>
                <w:rFonts w:cs="TimesNewRomanPSMT" w:ascii="TimesNewRomanPSMT" w:hAnsi="TimesNewRomanPSMT"/>
                <w:sz w:val="24"/>
                <w:szCs w:val="24"/>
              </w:rPr>
              <w:t>bacteria, viruses, and parasites</w:t>
            </w:r>
          </w:p>
          <w:p>
            <w:pPr>
              <w:pStyle w:val="Normal"/>
              <w:widowControl w:val="false"/>
              <w:jc w:val="left"/>
              <w:rPr>
                <w:rFonts w:ascii="TimesNewRomanPSMT" w:hAnsi="TimesNewRomanPSMT" w:cs="TimesNewRomanPSMT"/>
                <w:sz w:val="24"/>
                <w:szCs w:val="24"/>
              </w:rPr>
            </w:pPr>
            <w:r>
              <w:rPr>
                <w:rFonts w:cs="TimesNewRomanPSMT" w:ascii="TimesNewRomanPSMT" w:hAnsi="TimesNewRomanPSMT"/>
                <w:sz w:val="24"/>
                <w:szCs w:val="24"/>
              </w:rPr>
              <w:t>that can cause symptoms such as</w:t>
            </w:r>
          </w:p>
          <w:p>
            <w:pPr>
              <w:pStyle w:val="Normal"/>
              <w:widowControl w:val="false"/>
              <w:jc w:val="left"/>
              <w:rPr>
                <w:rFonts w:ascii="TimesNewRomanPSMT" w:hAnsi="TimesNewRomanPSMT" w:cs="TimesNewRomanPSMT"/>
                <w:sz w:val="24"/>
                <w:szCs w:val="24"/>
              </w:rPr>
            </w:pPr>
            <w:r>
              <w:rPr>
                <w:rFonts w:cs="TimesNewRomanPSMT" w:ascii="TimesNewRomanPSMT" w:hAnsi="TimesNewRomanPSMT"/>
                <w:sz w:val="24"/>
                <w:szCs w:val="24"/>
              </w:rPr>
              <w:t>nausea, cramps, diarrhea, and</w:t>
            </w:r>
          </w:p>
          <w:p>
            <w:pPr>
              <w:pStyle w:val="Normal"/>
              <w:widowControl w:val="false"/>
              <w:suppressAutoHyphens w:val="true"/>
              <w:spacing w:before="40" w:after="40"/>
              <w:jc w:val="center"/>
              <w:rPr>
                <w:rFonts w:ascii="Arial" w:hAnsi="Arial" w:cs="Arial"/>
                <w:color w:val="000000" w:themeColor="text1"/>
                <w:sz w:val="24"/>
                <w:szCs w:val="24"/>
              </w:rPr>
            </w:pPr>
            <w:r>
              <w:rPr>
                <w:rFonts w:eastAsia="Times New Roman" w:cs="TimesNewRomanPSMT" w:ascii="TimesNewRomanPSMT" w:hAnsi="TimesNewRomanPSMT"/>
                <w:color w:val="000000" w:themeColor="text1"/>
                <w:kern w:val="0"/>
                <w:sz w:val="24"/>
                <w:szCs w:val="24"/>
                <w:lang w:val="en-US" w:eastAsia="en-US" w:bidi="ar-SA"/>
              </w:rPr>
              <w:t>associated headaches.</w:t>
            </w:r>
          </w:p>
        </w:tc>
      </w:tr>
    </w:tbl>
    <w:p>
      <w:pPr>
        <w:pStyle w:val="Caption1"/>
        <w:rPr/>
      </w:pPr>
      <w:r>
        <w:rPr/>
        <w:t xml:space="preserve">Table </w:t>
      </w:r>
      <w:r>
        <w:rPr/>
        <w:fldChar w:fldCharType="begin"/>
      </w:r>
      <w:r>
        <w:rPr/>
        <w:instrText> SEQ Table \* ARABIC </w:instrText>
      </w:r>
      <w:r>
        <w:rPr/>
        <w:fldChar w:fldCharType="separate"/>
      </w:r>
      <w:r>
        <w:rPr/>
        <w:t>5</w:t>
      </w:r>
      <w:r>
        <w:rPr/>
        <w:fldChar w:fldCharType="end"/>
      </w:r>
      <w:r>
        <w:rPr/>
        <w:t>.  Detection of Contaminants with a Secondary Drinking Water Standard</w:t>
      </w:r>
    </w:p>
    <w:tbl>
      <w:tblPr>
        <w:tblStyle w:val="TableGrid"/>
        <w:tblW w:w="10836" w:type="dxa"/>
        <w:jc w:val="left"/>
        <w:tblInd w:w="0" w:type="dxa"/>
        <w:tblLayout w:type="fixed"/>
        <w:tblCellMar>
          <w:top w:w="0" w:type="dxa"/>
          <w:left w:w="58" w:type="dxa"/>
          <w:bottom w:w="0" w:type="dxa"/>
          <w:right w:w="58" w:type="dxa"/>
        </w:tblCellMar>
        <w:tblLook w:firstRow="1" w:noVBand="0" w:lastRow="0" w:firstColumn="0" w:lastColumn="0" w:noHBand="0" w:val="0020"/>
      </w:tblPr>
      <w:tblGrid>
        <w:gridCol w:w="2245"/>
        <w:gridCol w:w="1440"/>
        <w:gridCol w:w="1259"/>
        <w:gridCol w:w="1530"/>
        <w:gridCol w:w="900"/>
        <w:gridCol w:w="1171"/>
        <w:gridCol w:w="2290"/>
      </w:tblGrid>
      <w:tr>
        <w:trPr/>
        <w:tc>
          <w:tcPr>
            <w:tcW w:w="2245" w:type="dxa"/>
            <w:tcBorders/>
            <w:vAlign w:val="center"/>
          </w:tcPr>
          <w:p>
            <w:pPr>
              <w:pStyle w:val="Normal"/>
              <w:keepNext w:val="true"/>
              <w:keepLines/>
              <w:widowControl w:val="false"/>
              <w:suppressAutoHyphens w:val="true"/>
              <w:spacing w:lineRule="exact" w:line="240" w:before="0" w:after="60"/>
              <w:jc w:val="center"/>
              <w:rPr>
                <w:rFonts w:ascii="Arial" w:hAnsi="Arial" w:cs="Arial"/>
                <w:b/>
                <w:b/>
                <w:sz w:val="24"/>
                <w:szCs w:val="24"/>
              </w:rPr>
            </w:pPr>
            <w:r>
              <w:rPr>
                <w:rFonts w:eastAsia="Times New Roman" w:cs="Arial" w:ascii="Arial" w:hAnsi="Arial"/>
                <w:b/>
                <w:kern w:val="0"/>
                <w:sz w:val="24"/>
                <w:szCs w:val="24"/>
                <w:lang w:val="en-US" w:eastAsia="en-US" w:bidi="ar-SA"/>
              </w:rPr>
              <w:t>Chemical or Constituent (and reporting units)</w:t>
            </w:r>
          </w:p>
        </w:tc>
        <w:tc>
          <w:tcPr>
            <w:tcW w:w="1440" w:type="dxa"/>
            <w:tcBorders/>
            <w:vAlign w:val="center"/>
          </w:tcPr>
          <w:p>
            <w:pPr>
              <w:pStyle w:val="Normal"/>
              <w:keepNext w:val="true"/>
              <w:keepLines/>
              <w:widowControl w:val="false"/>
              <w:suppressAutoHyphens w:val="true"/>
              <w:spacing w:before="0" w:after="60"/>
              <w:jc w:val="center"/>
              <w:rPr>
                <w:rFonts w:ascii="Arial" w:hAnsi="Arial" w:cs="Arial"/>
                <w:b/>
                <w:b/>
                <w:sz w:val="24"/>
                <w:szCs w:val="24"/>
              </w:rPr>
            </w:pPr>
            <w:r>
              <w:rPr>
                <w:rFonts w:eastAsia="Times New Roman" w:cs="Arial" w:ascii="Arial" w:hAnsi="Arial"/>
                <w:b/>
                <w:kern w:val="0"/>
                <w:sz w:val="24"/>
                <w:szCs w:val="24"/>
                <w:lang w:val="en-US" w:eastAsia="en-US" w:bidi="ar-SA"/>
              </w:rPr>
              <w:t>Sample Date</w:t>
            </w:r>
          </w:p>
        </w:tc>
        <w:tc>
          <w:tcPr>
            <w:tcW w:w="1259" w:type="dxa"/>
            <w:tcBorders/>
            <w:vAlign w:val="center"/>
          </w:tcPr>
          <w:p>
            <w:pPr>
              <w:pStyle w:val="Normal"/>
              <w:keepNext w:val="true"/>
              <w:keepLines/>
              <w:widowControl w:val="false"/>
              <w:suppressAutoHyphens w:val="true"/>
              <w:spacing w:before="0" w:after="60"/>
              <w:jc w:val="center"/>
              <w:rPr>
                <w:rFonts w:ascii="Arial" w:hAnsi="Arial" w:cs="Arial"/>
                <w:b/>
                <w:b/>
                <w:sz w:val="24"/>
                <w:szCs w:val="24"/>
              </w:rPr>
            </w:pPr>
            <w:r>
              <w:rPr>
                <w:rFonts w:eastAsia="Times New Roman" w:cs="Arial" w:ascii="Arial" w:hAnsi="Arial"/>
                <w:b/>
                <w:kern w:val="0"/>
                <w:sz w:val="24"/>
                <w:szCs w:val="24"/>
                <w:lang w:val="en-US" w:eastAsia="en-US" w:bidi="ar-SA"/>
              </w:rPr>
              <w:t>Level Detected</w:t>
            </w:r>
          </w:p>
        </w:tc>
        <w:tc>
          <w:tcPr>
            <w:tcW w:w="1530" w:type="dxa"/>
            <w:tcBorders/>
            <w:vAlign w:val="center"/>
          </w:tcPr>
          <w:p>
            <w:pPr>
              <w:pStyle w:val="Normal"/>
              <w:keepNext w:val="true"/>
              <w:keepLines/>
              <w:widowControl w:val="false"/>
              <w:suppressAutoHyphens w:val="true"/>
              <w:spacing w:before="0" w:after="60"/>
              <w:jc w:val="center"/>
              <w:rPr>
                <w:rFonts w:ascii="Arial" w:hAnsi="Arial" w:cs="Arial"/>
                <w:b/>
                <w:b/>
                <w:sz w:val="24"/>
                <w:szCs w:val="24"/>
              </w:rPr>
            </w:pPr>
            <w:r>
              <w:rPr>
                <w:rFonts w:eastAsia="Times New Roman" w:cs="Arial" w:ascii="Arial" w:hAnsi="Arial"/>
                <w:b/>
                <w:kern w:val="0"/>
                <w:sz w:val="24"/>
                <w:szCs w:val="24"/>
                <w:lang w:val="en-US" w:eastAsia="en-US" w:bidi="ar-SA"/>
              </w:rPr>
              <w:t>Range of Detections</w:t>
            </w:r>
          </w:p>
        </w:tc>
        <w:tc>
          <w:tcPr>
            <w:tcW w:w="900" w:type="dxa"/>
            <w:tcBorders/>
            <w:vAlign w:val="center"/>
          </w:tcPr>
          <w:p>
            <w:pPr>
              <w:pStyle w:val="Normal"/>
              <w:keepNext w:val="true"/>
              <w:keepLines/>
              <w:widowControl w:val="false"/>
              <w:suppressAutoHyphens w:val="true"/>
              <w:spacing w:before="0" w:after="60"/>
              <w:jc w:val="center"/>
              <w:rPr>
                <w:rFonts w:ascii="Arial" w:hAnsi="Arial" w:cs="Arial"/>
                <w:b/>
                <w:b/>
                <w:sz w:val="24"/>
                <w:szCs w:val="24"/>
              </w:rPr>
            </w:pPr>
            <w:r>
              <w:rPr>
                <w:rFonts w:eastAsia="Times New Roman" w:cs="Arial" w:ascii="Arial" w:hAnsi="Arial"/>
                <w:b/>
                <w:kern w:val="0"/>
                <w:sz w:val="24"/>
                <w:szCs w:val="24"/>
                <w:lang w:val="en-US" w:eastAsia="en-US" w:bidi="ar-SA"/>
              </w:rPr>
              <w:t>SMCL</w:t>
            </w:r>
          </w:p>
        </w:tc>
        <w:tc>
          <w:tcPr>
            <w:tcW w:w="1171" w:type="dxa"/>
            <w:tcBorders/>
            <w:vAlign w:val="center"/>
          </w:tcPr>
          <w:p>
            <w:pPr>
              <w:pStyle w:val="Normal"/>
              <w:keepNext w:val="true"/>
              <w:keepLines/>
              <w:widowControl w:val="false"/>
              <w:suppressAutoHyphens w:val="true"/>
              <w:spacing w:before="0" w:after="60"/>
              <w:jc w:val="center"/>
              <w:rPr>
                <w:rFonts w:ascii="Arial" w:hAnsi="Arial" w:cs="Arial"/>
                <w:b/>
                <w:b/>
                <w:sz w:val="24"/>
                <w:szCs w:val="24"/>
              </w:rPr>
            </w:pPr>
            <w:r>
              <w:rPr>
                <w:rFonts w:eastAsia="Times New Roman" w:cs="Arial" w:ascii="Arial" w:hAnsi="Arial"/>
                <w:b/>
                <w:kern w:val="0"/>
                <w:sz w:val="24"/>
                <w:szCs w:val="24"/>
                <w:lang w:val="en-US" w:eastAsia="en-US" w:bidi="ar-SA"/>
              </w:rPr>
              <w:t>PHG (MCLG)</w:t>
            </w:r>
          </w:p>
        </w:tc>
        <w:tc>
          <w:tcPr>
            <w:tcW w:w="2290" w:type="dxa"/>
            <w:tcBorders/>
            <w:vAlign w:val="center"/>
          </w:tcPr>
          <w:p>
            <w:pPr>
              <w:pStyle w:val="Normal"/>
              <w:widowControl w:val="false"/>
              <w:suppressAutoHyphens w:val="true"/>
              <w:spacing w:before="0" w:after="0"/>
              <w:jc w:val="center"/>
              <w:rPr>
                <w:rFonts w:ascii="Arial" w:hAnsi="Arial" w:cs="Arial"/>
                <w:b/>
                <w:b/>
                <w:sz w:val="24"/>
                <w:szCs w:val="24"/>
              </w:rPr>
            </w:pPr>
            <w:r>
              <w:rPr>
                <w:rFonts w:eastAsia="Times New Roman" w:cs="Arial" w:ascii="Arial" w:hAnsi="Arial"/>
                <w:b/>
                <w:kern w:val="0"/>
                <w:sz w:val="24"/>
                <w:szCs w:val="24"/>
                <w:lang w:val="en-US" w:eastAsia="en-US" w:bidi="ar-SA"/>
              </w:rPr>
              <w:t>Typical Source</w:t>
            </w:r>
          </w:p>
          <w:p>
            <w:pPr>
              <w:pStyle w:val="Normal"/>
              <w:widowControl w:val="false"/>
              <w:suppressAutoHyphens w:val="true"/>
              <w:spacing w:before="0" w:after="0"/>
              <w:jc w:val="center"/>
              <w:rPr>
                <w:rFonts w:ascii="Arial" w:hAnsi="Arial" w:cs="Arial"/>
                <w:b/>
                <w:b/>
                <w:sz w:val="24"/>
                <w:szCs w:val="24"/>
              </w:rPr>
            </w:pPr>
            <w:r>
              <w:rPr>
                <w:rFonts w:eastAsia="Times New Roman" w:cs="Arial" w:ascii="Arial" w:hAnsi="Arial"/>
                <w:b/>
                <w:kern w:val="0"/>
                <w:sz w:val="24"/>
                <w:szCs w:val="24"/>
                <w:lang w:val="en-US" w:eastAsia="en-US" w:bidi="ar-SA"/>
              </w:rPr>
              <w:t>of</w:t>
            </w:r>
          </w:p>
          <w:p>
            <w:pPr>
              <w:pStyle w:val="Normal"/>
              <w:widowControl w:val="false"/>
              <w:suppressAutoHyphens w:val="true"/>
              <w:spacing w:before="0" w:after="60"/>
              <w:jc w:val="center"/>
              <w:rPr>
                <w:rFonts w:ascii="Arial" w:hAnsi="Arial" w:cs="Arial"/>
                <w:b/>
                <w:b/>
                <w:sz w:val="24"/>
                <w:szCs w:val="24"/>
              </w:rPr>
            </w:pPr>
            <w:r>
              <w:rPr>
                <w:rFonts w:eastAsia="Times New Roman" w:cs="Arial" w:ascii="Arial" w:hAnsi="Arial"/>
                <w:b/>
                <w:kern w:val="0"/>
                <w:sz w:val="24"/>
                <w:szCs w:val="24"/>
                <w:lang w:val="en-US" w:eastAsia="en-US" w:bidi="ar-SA"/>
              </w:rPr>
              <w:t>Contaminant</w:t>
            </w:r>
          </w:p>
        </w:tc>
      </w:tr>
      <w:tr>
        <w:trPr>
          <w:trHeight w:val="432" w:hRule="atLeast"/>
        </w:trPr>
        <w:tc>
          <w:tcPr>
            <w:tcW w:w="2245" w:type="dxa"/>
            <w:tcBorders/>
            <w:tcMar>
              <w:left w:w="108" w:type="dxa"/>
              <w:right w:w="108" w:type="dxa"/>
            </w:tcMar>
          </w:tcPr>
          <w:p>
            <w:pPr>
              <w:pStyle w:val="Normal"/>
              <w:widowControl w:val="false"/>
              <w:spacing w:before="40" w:after="40"/>
              <w:ind w:left="187" w:right="0" w:hanging="0"/>
              <w:rPr>
                <w:rFonts w:ascii="Arial" w:hAnsi="Arial" w:cs="Arial"/>
                <w:sz w:val="24"/>
                <w:szCs w:val="24"/>
              </w:rPr>
            </w:pPr>
            <w:r>
              <w:rPr>
                <w:rFonts w:cs="Arial" w:ascii="Arial" w:hAnsi="Arial"/>
                <w:sz w:val="24"/>
                <w:szCs w:val="24"/>
              </w:rPr>
              <w:t>Iron (ppb)</w:t>
            </w:r>
          </w:p>
        </w:tc>
        <w:tc>
          <w:tcPr>
            <w:tcW w:w="1440" w:type="dxa"/>
            <w:tcBorders/>
            <w:tcMar>
              <w:left w:w="108" w:type="dxa"/>
              <w:right w:w="108" w:type="dxa"/>
            </w:tcMar>
          </w:tcPr>
          <w:p>
            <w:pPr>
              <w:pStyle w:val="Normal"/>
              <w:widowControl w:val="false"/>
              <w:spacing w:before="40" w:after="40"/>
              <w:rPr>
                <w:rFonts w:ascii="Arial" w:hAnsi="Arial" w:cs="Arial"/>
                <w:sz w:val="24"/>
                <w:szCs w:val="24"/>
              </w:rPr>
            </w:pPr>
            <w:r>
              <w:rPr>
                <w:rFonts w:cs="Arial" w:ascii="Arial" w:hAnsi="Arial"/>
                <w:sz w:val="24"/>
                <w:szCs w:val="24"/>
              </w:rPr>
              <w:t>12/6/2021</w:t>
            </w:r>
          </w:p>
        </w:tc>
        <w:tc>
          <w:tcPr>
            <w:tcW w:w="1259" w:type="dxa"/>
            <w:tcBorders/>
            <w:tcMar>
              <w:left w:w="108" w:type="dxa"/>
              <w:right w:w="108" w:type="dxa"/>
            </w:tcMar>
          </w:tcPr>
          <w:p>
            <w:pPr>
              <w:pStyle w:val="Normal"/>
              <w:widowControl w:val="false"/>
              <w:spacing w:before="40" w:after="40"/>
              <w:rPr>
                <w:rFonts w:ascii="Arial" w:hAnsi="Arial" w:cs="Arial"/>
                <w:sz w:val="24"/>
                <w:szCs w:val="24"/>
              </w:rPr>
            </w:pPr>
            <w:r>
              <w:rPr>
                <w:rFonts w:cs="Arial" w:ascii="Arial" w:hAnsi="Arial"/>
                <w:sz w:val="24"/>
                <w:szCs w:val="24"/>
              </w:rPr>
              <w:t>2033</w:t>
            </w:r>
          </w:p>
        </w:tc>
        <w:tc>
          <w:tcPr>
            <w:tcW w:w="1530" w:type="dxa"/>
            <w:tcBorders/>
            <w:tcMar>
              <w:left w:w="108" w:type="dxa"/>
              <w:right w:w="108" w:type="dxa"/>
            </w:tcMar>
          </w:tcPr>
          <w:p>
            <w:pPr>
              <w:pStyle w:val="Normal"/>
              <w:widowControl w:val="false"/>
              <w:spacing w:before="40" w:after="40"/>
              <w:rPr>
                <w:rFonts w:ascii="Arial" w:hAnsi="Arial" w:cs="Arial"/>
                <w:sz w:val="24"/>
                <w:szCs w:val="24"/>
              </w:rPr>
            </w:pPr>
            <w:r>
              <w:rPr>
                <w:rFonts w:cs="Arial" w:ascii="Arial" w:hAnsi="Arial"/>
                <w:sz w:val="24"/>
                <w:szCs w:val="24"/>
              </w:rPr>
              <w:t>1500 - 2700</w:t>
            </w:r>
          </w:p>
        </w:tc>
        <w:tc>
          <w:tcPr>
            <w:tcW w:w="900" w:type="dxa"/>
            <w:tcBorders/>
            <w:tcMar>
              <w:left w:w="108" w:type="dxa"/>
              <w:right w:w="108" w:type="dxa"/>
            </w:tcMar>
          </w:tcPr>
          <w:p>
            <w:pPr>
              <w:pStyle w:val="Normal"/>
              <w:widowControl w:val="false"/>
              <w:spacing w:before="40" w:after="40"/>
              <w:rPr>
                <w:rFonts w:ascii="Arial" w:hAnsi="Arial" w:cs="Arial"/>
                <w:sz w:val="24"/>
                <w:szCs w:val="24"/>
              </w:rPr>
            </w:pPr>
            <w:r>
              <w:rPr>
                <w:rFonts w:cs="Arial" w:ascii="Arial" w:hAnsi="Arial"/>
                <w:sz w:val="24"/>
                <w:szCs w:val="24"/>
              </w:rPr>
              <w:t>300</w:t>
            </w:r>
          </w:p>
        </w:tc>
        <w:tc>
          <w:tcPr>
            <w:tcW w:w="1171" w:type="dxa"/>
            <w:tcBorders/>
            <w:tcMar>
              <w:left w:w="108" w:type="dxa"/>
              <w:right w:w="108" w:type="dxa"/>
            </w:tcMar>
          </w:tcPr>
          <w:p>
            <w:pPr>
              <w:pStyle w:val="Normal"/>
              <w:widowControl w:val="false"/>
              <w:spacing w:before="40" w:after="40"/>
              <w:rPr>
                <w:rFonts w:ascii="Arial" w:hAnsi="Arial" w:cs="Arial"/>
                <w:sz w:val="24"/>
                <w:szCs w:val="24"/>
              </w:rPr>
            </w:pPr>
            <w:r>
              <w:rPr>
                <w:rFonts w:cs="Arial" w:ascii="Arial" w:hAnsi="Arial"/>
                <w:sz w:val="24"/>
                <w:szCs w:val="24"/>
              </w:rPr>
              <w:t>100</w:t>
            </w:r>
          </w:p>
        </w:tc>
        <w:tc>
          <w:tcPr>
            <w:tcW w:w="2290" w:type="dxa"/>
            <w:tcBorders/>
            <w:tcMar>
              <w:left w:w="108" w:type="dxa"/>
              <w:right w:w="108" w:type="dxa"/>
            </w:tcMar>
          </w:tcPr>
          <w:p>
            <w:pPr>
              <w:pStyle w:val="Normal"/>
              <w:widowControl w:val="false"/>
              <w:spacing w:before="40" w:after="40"/>
              <w:rPr>
                <w:rFonts w:ascii="TimesNewRomanPSMT" w:hAnsi="TimesNewRomanPSMT" w:cs="TimesNewRomanPSMT"/>
                <w:sz w:val="24"/>
                <w:szCs w:val="24"/>
              </w:rPr>
            </w:pPr>
            <w:r>
              <w:rPr>
                <w:rFonts w:cs="TimesNewRomanPSMT" w:ascii="TimesNewRomanPSMT" w:hAnsi="TimesNewRomanPSMT"/>
                <w:sz w:val="24"/>
                <w:szCs w:val="24"/>
              </w:rPr>
              <w:t>Leaching from natural</w:t>
            </w:r>
          </w:p>
          <w:p>
            <w:pPr>
              <w:pStyle w:val="Normal"/>
              <w:widowControl w:val="false"/>
              <w:spacing w:before="40" w:after="40"/>
              <w:rPr>
                <w:rFonts w:ascii="TimesNewRomanPSMT" w:hAnsi="TimesNewRomanPSMT" w:cs="TimesNewRomanPSMT"/>
                <w:sz w:val="24"/>
                <w:szCs w:val="24"/>
              </w:rPr>
            </w:pPr>
            <w:r>
              <w:rPr>
                <w:rFonts w:cs="TimesNewRomanPSMT" w:ascii="TimesNewRomanPSMT" w:hAnsi="TimesNewRomanPSMT"/>
                <w:sz w:val="24"/>
                <w:szCs w:val="24"/>
              </w:rPr>
              <w:t>deposits; industrial wastes</w:t>
            </w:r>
          </w:p>
        </w:tc>
      </w:tr>
      <w:tr>
        <w:trPr>
          <w:trHeight w:val="432" w:hRule="atLeast"/>
        </w:trPr>
        <w:tc>
          <w:tcPr>
            <w:tcW w:w="2245" w:type="dxa"/>
            <w:tcBorders/>
            <w:tcMar>
              <w:left w:w="108" w:type="dxa"/>
              <w:right w:w="108" w:type="dxa"/>
            </w:tcMar>
          </w:tcPr>
          <w:p>
            <w:pPr>
              <w:pStyle w:val="Normal"/>
              <w:widowControl w:val="false"/>
              <w:spacing w:before="40" w:after="40"/>
              <w:ind w:left="187" w:right="0" w:hanging="0"/>
              <w:rPr>
                <w:rFonts w:ascii="Arial" w:hAnsi="Arial" w:cs="Arial"/>
                <w:sz w:val="24"/>
                <w:szCs w:val="24"/>
              </w:rPr>
            </w:pPr>
            <w:r>
              <w:rPr>
                <w:rFonts w:cs="Arial" w:ascii="Arial" w:hAnsi="Arial"/>
                <w:sz w:val="24"/>
                <w:szCs w:val="24"/>
              </w:rPr>
              <w:t>Manganese (ug/l)</w:t>
            </w:r>
          </w:p>
        </w:tc>
        <w:tc>
          <w:tcPr>
            <w:tcW w:w="1440" w:type="dxa"/>
            <w:tcBorders/>
            <w:tcMar>
              <w:left w:w="108" w:type="dxa"/>
              <w:right w:w="108" w:type="dxa"/>
            </w:tcMar>
          </w:tcPr>
          <w:p>
            <w:pPr>
              <w:pStyle w:val="Normal"/>
              <w:widowControl w:val="false"/>
              <w:spacing w:before="40" w:after="40"/>
              <w:rPr>
                <w:rFonts w:ascii="Arial" w:hAnsi="Arial" w:cs="Arial"/>
                <w:sz w:val="24"/>
                <w:szCs w:val="24"/>
              </w:rPr>
            </w:pPr>
            <w:r>
              <w:rPr>
                <w:rFonts w:cs="Arial" w:ascii="Arial" w:hAnsi="Arial"/>
                <w:sz w:val="24"/>
                <w:szCs w:val="24"/>
              </w:rPr>
              <w:t>6/21/19</w:t>
            </w:r>
          </w:p>
        </w:tc>
        <w:tc>
          <w:tcPr>
            <w:tcW w:w="1259" w:type="dxa"/>
            <w:tcBorders/>
            <w:tcMar>
              <w:left w:w="108" w:type="dxa"/>
              <w:right w:w="108" w:type="dxa"/>
            </w:tcMar>
          </w:tcPr>
          <w:p>
            <w:pPr>
              <w:pStyle w:val="Normal"/>
              <w:widowControl w:val="false"/>
              <w:spacing w:before="40" w:after="40"/>
              <w:rPr>
                <w:rFonts w:ascii="Arial" w:hAnsi="Arial" w:cs="Arial"/>
                <w:sz w:val="24"/>
                <w:szCs w:val="24"/>
              </w:rPr>
            </w:pPr>
            <w:r>
              <w:rPr>
                <w:rFonts w:cs="Arial" w:ascii="Arial" w:hAnsi="Arial"/>
                <w:sz w:val="24"/>
                <w:szCs w:val="24"/>
              </w:rPr>
              <w:t>36</w:t>
            </w:r>
          </w:p>
        </w:tc>
        <w:tc>
          <w:tcPr>
            <w:tcW w:w="1530" w:type="dxa"/>
            <w:tcBorders/>
            <w:tcMar>
              <w:left w:w="108" w:type="dxa"/>
              <w:right w:w="108" w:type="dxa"/>
            </w:tcMar>
          </w:tcPr>
          <w:p>
            <w:pPr>
              <w:pStyle w:val="Normal"/>
              <w:widowControl w:val="false"/>
              <w:spacing w:before="40" w:after="40"/>
              <w:rPr>
                <w:rFonts w:ascii="Arial" w:hAnsi="Arial" w:cs="Arial"/>
                <w:sz w:val="24"/>
                <w:szCs w:val="24"/>
              </w:rPr>
            </w:pPr>
            <w:r>
              <w:rPr>
                <w:rFonts w:cs="Arial" w:ascii="Arial" w:hAnsi="Arial"/>
                <w:sz w:val="24"/>
                <w:szCs w:val="24"/>
              </w:rPr>
              <w:t>&lt;20 - 36</w:t>
            </w:r>
          </w:p>
        </w:tc>
        <w:tc>
          <w:tcPr>
            <w:tcW w:w="900" w:type="dxa"/>
            <w:tcBorders/>
            <w:tcMar>
              <w:left w:w="108" w:type="dxa"/>
              <w:right w:w="108" w:type="dxa"/>
            </w:tcMar>
          </w:tcPr>
          <w:p>
            <w:pPr>
              <w:pStyle w:val="Normal"/>
              <w:widowControl w:val="false"/>
              <w:spacing w:before="40" w:after="40"/>
              <w:rPr>
                <w:rFonts w:ascii="Arial" w:hAnsi="Arial" w:cs="Arial"/>
                <w:sz w:val="24"/>
                <w:szCs w:val="24"/>
              </w:rPr>
            </w:pPr>
            <w:r>
              <w:rPr>
                <w:rFonts w:cs="Arial" w:ascii="Arial" w:hAnsi="Arial"/>
                <w:sz w:val="24"/>
                <w:szCs w:val="24"/>
              </w:rPr>
              <w:t>50</w:t>
            </w:r>
          </w:p>
        </w:tc>
        <w:tc>
          <w:tcPr>
            <w:tcW w:w="1171" w:type="dxa"/>
            <w:tcBorders/>
            <w:tcMar>
              <w:left w:w="108" w:type="dxa"/>
              <w:right w:w="108" w:type="dxa"/>
            </w:tcMar>
          </w:tcPr>
          <w:p>
            <w:pPr>
              <w:pStyle w:val="Normal"/>
              <w:widowControl w:val="false"/>
              <w:spacing w:before="40" w:after="40"/>
              <w:rPr>
                <w:rFonts w:ascii="Arial" w:hAnsi="Arial" w:cs="Arial"/>
                <w:sz w:val="24"/>
                <w:szCs w:val="24"/>
              </w:rPr>
            </w:pPr>
            <w:r>
              <w:rPr>
                <w:rFonts w:cs="Arial" w:ascii="Arial" w:hAnsi="Arial"/>
                <w:sz w:val="24"/>
                <w:szCs w:val="24"/>
              </w:rPr>
              <w:t>20</w:t>
            </w:r>
          </w:p>
        </w:tc>
        <w:tc>
          <w:tcPr>
            <w:tcW w:w="2290" w:type="dxa"/>
            <w:tcBorders/>
            <w:tcMar>
              <w:left w:w="108" w:type="dxa"/>
              <w:right w:w="108" w:type="dxa"/>
            </w:tcMar>
          </w:tcPr>
          <w:p>
            <w:pPr>
              <w:pStyle w:val="Normal"/>
              <w:widowControl w:val="false"/>
              <w:spacing w:before="40" w:after="40"/>
              <w:rPr>
                <w:rFonts w:ascii="TimesNewRomanPSMT" w:hAnsi="TimesNewRomanPSMT" w:cs="TimesNewRomanPSMT"/>
                <w:sz w:val="24"/>
                <w:szCs w:val="24"/>
              </w:rPr>
            </w:pPr>
            <w:r>
              <w:rPr>
                <w:rFonts w:cs="TimesNewRomanPSMT" w:ascii="TimesNewRomanPSMT" w:hAnsi="TimesNewRomanPSMT"/>
                <w:sz w:val="24"/>
                <w:szCs w:val="24"/>
              </w:rPr>
              <w:t>Leaching from natural</w:t>
            </w:r>
          </w:p>
          <w:p>
            <w:pPr>
              <w:pStyle w:val="Normal"/>
              <w:widowControl w:val="false"/>
              <w:spacing w:before="40" w:after="40"/>
              <w:rPr>
                <w:rFonts w:ascii="TimesNewRomanPSMT" w:hAnsi="TimesNewRomanPSMT" w:cs="TimesNewRomanPSMT"/>
                <w:sz w:val="24"/>
                <w:szCs w:val="24"/>
              </w:rPr>
            </w:pPr>
            <w:r>
              <w:rPr>
                <w:rFonts w:cs="TimesNewRomanPSMT" w:ascii="TimesNewRomanPSMT" w:hAnsi="TimesNewRomanPSMT"/>
                <w:sz w:val="24"/>
                <w:szCs w:val="24"/>
              </w:rPr>
              <w:t>deposits</w:t>
            </w:r>
          </w:p>
        </w:tc>
      </w:tr>
      <w:tr>
        <w:trPr>
          <w:trHeight w:val="432" w:hRule="atLeast"/>
        </w:trPr>
        <w:tc>
          <w:tcPr>
            <w:tcW w:w="2245" w:type="dxa"/>
            <w:tcBorders/>
            <w:tcMar>
              <w:left w:w="108" w:type="dxa"/>
              <w:right w:w="108" w:type="dxa"/>
            </w:tcMar>
          </w:tcPr>
          <w:p>
            <w:pPr>
              <w:pStyle w:val="Normal"/>
              <w:widowControl w:val="false"/>
              <w:suppressAutoHyphens w:val="true"/>
              <w:spacing w:before="40" w:after="40"/>
              <w:ind w:left="187" w:hanging="0"/>
              <w:jc w:val="left"/>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[Enter Contaminant]</w:t>
            </w:r>
          </w:p>
        </w:tc>
        <w:tc>
          <w:tcPr>
            <w:tcW w:w="1440" w:type="dxa"/>
            <w:tcBorders/>
            <w:tcMar>
              <w:left w:w="108" w:type="dxa"/>
              <w:right w:w="108" w:type="dxa"/>
            </w:tcMar>
          </w:tcPr>
          <w:p>
            <w:pPr>
              <w:pStyle w:val="Normal"/>
              <w:widowControl w:val="false"/>
              <w:suppressAutoHyphens w:val="true"/>
              <w:spacing w:before="40" w:after="40"/>
              <w:jc w:val="left"/>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[Enter Date]</w:t>
            </w:r>
          </w:p>
        </w:tc>
        <w:tc>
          <w:tcPr>
            <w:tcW w:w="1259" w:type="dxa"/>
            <w:tcBorders/>
            <w:tcMar>
              <w:left w:w="108" w:type="dxa"/>
              <w:right w:w="108" w:type="dxa"/>
            </w:tcMar>
          </w:tcPr>
          <w:p>
            <w:pPr>
              <w:pStyle w:val="Normal"/>
              <w:widowControl w:val="false"/>
              <w:suppressAutoHyphens w:val="true"/>
              <w:spacing w:before="40" w:after="40"/>
              <w:jc w:val="left"/>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[Enter No.]</w:t>
            </w:r>
          </w:p>
        </w:tc>
        <w:tc>
          <w:tcPr>
            <w:tcW w:w="1530" w:type="dxa"/>
            <w:tcBorders/>
            <w:tcMar>
              <w:left w:w="108" w:type="dxa"/>
              <w:right w:w="108" w:type="dxa"/>
            </w:tcMar>
          </w:tcPr>
          <w:p>
            <w:pPr>
              <w:pStyle w:val="Normal"/>
              <w:widowControl w:val="false"/>
              <w:suppressAutoHyphens w:val="true"/>
              <w:spacing w:before="40" w:after="40"/>
              <w:jc w:val="left"/>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[Enter Range]</w:t>
            </w:r>
          </w:p>
        </w:tc>
        <w:tc>
          <w:tcPr>
            <w:tcW w:w="900" w:type="dxa"/>
            <w:tcBorders/>
            <w:tcMar>
              <w:left w:w="108" w:type="dxa"/>
              <w:right w:w="108" w:type="dxa"/>
            </w:tcMar>
          </w:tcPr>
          <w:p>
            <w:pPr>
              <w:pStyle w:val="Normal"/>
              <w:widowControl w:val="false"/>
              <w:suppressAutoHyphens w:val="true"/>
              <w:spacing w:before="40" w:after="40"/>
              <w:jc w:val="left"/>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[Enter No.]</w:t>
            </w:r>
          </w:p>
        </w:tc>
        <w:tc>
          <w:tcPr>
            <w:tcW w:w="1171" w:type="dxa"/>
            <w:tcBorders/>
            <w:tcMar>
              <w:left w:w="108" w:type="dxa"/>
              <w:right w:w="108" w:type="dxa"/>
            </w:tcMar>
          </w:tcPr>
          <w:p>
            <w:pPr>
              <w:pStyle w:val="Normal"/>
              <w:widowControl w:val="false"/>
              <w:suppressAutoHyphens w:val="true"/>
              <w:spacing w:before="40" w:after="40"/>
              <w:jc w:val="left"/>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[Enter No.]</w:t>
            </w:r>
          </w:p>
        </w:tc>
        <w:tc>
          <w:tcPr>
            <w:tcW w:w="2290" w:type="dxa"/>
            <w:tcBorders/>
            <w:tcMar>
              <w:left w:w="108" w:type="dxa"/>
              <w:right w:w="108" w:type="dxa"/>
            </w:tcMar>
          </w:tcPr>
          <w:p>
            <w:pPr>
              <w:pStyle w:val="Normal"/>
              <w:widowControl w:val="false"/>
              <w:suppressAutoHyphens w:val="true"/>
              <w:spacing w:before="40" w:after="40"/>
              <w:jc w:val="left"/>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[Enter Source]</w:t>
            </w:r>
          </w:p>
        </w:tc>
      </w:tr>
    </w:tbl>
    <w:p>
      <w:pPr>
        <w:pStyle w:val="Caption1"/>
        <w:widowControl w:val="false"/>
        <w:rPr/>
      </w:pPr>
      <w:r>
        <w:rPr/>
        <w:t xml:space="preserve">Table </w:t>
      </w:r>
      <w:r>
        <w:rPr/>
        <w:fldChar w:fldCharType="begin"/>
      </w:r>
      <w:r>
        <w:rPr/>
        <w:instrText> SEQ Table \* ARABIC </w:instrText>
      </w:r>
      <w:r>
        <w:rPr/>
        <w:fldChar w:fldCharType="separate"/>
      </w:r>
      <w:r>
        <w:rPr/>
        <w:t>6</w:t>
      </w:r>
      <w:r>
        <w:rPr/>
        <w:fldChar w:fldCharType="end"/>
      </w:r>
      <w:r>
        <w:rPr/>
        <w:t>.  Detection of Unregulated Contaminants</w:t>
      </w:r>
    </w:p>
    <w:tbl>
      <w:tblPr>
        <w:tblStyle w:val="TableGrid"/>
        <w:tblW w:w="10836" w:type="dxa"/>
        <w:jc w:val="left"/>
        <w:tblInd w:w="0" w:type="dxa"/>
        <w:tblLayout w:type="fixed"/>
        <w:tblCellMar>
          <w:top w:w="0" w:type="dxa"/>
          <w:left w:w="108" w:type="dxa"/>
          <w:bottom w:w="0" w:type="dxa"/>
          <w:right w:w="108" w:type="dxa"/>
        </w:tblCellMar>
        <w:tblLook w:firstRow="1" w:noVBand="0" w:lastRow="0" w:firstColumn="0" w:lastColumn="0" w:noHBand="0" w:val="0020"/>
      </w:tblPr>
      <w:tblGrid>
        <w:gridCol w:w="2245"/>
        <w:gridCol w:w="1440"/>
        <w:gridCol w:w="1350"/>
        <w:gridCol w:w="1530"/>
        <w:gridCol w:w="1800"/>
        <w:gridCol w:w="2470"/>
      </w:tblGrid>
      <w:tr>
        <w:trPr>
          <w:trHeight w:val="440" w:hRule="atLeast"/>
        </w:trPr>
        <w:tc>
          <w:tcPr>
            <w:tcW w:w="2245"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Chemical or Constituent (and reporting units)</w:t>
            </w:r>
          </w:p>
        </w:tc>
        <w:tc>
          <w:tcPr>
            <w:tcW w:w="1440"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Sample Date</w:t>
            </w:r>
          </w:p>
        </w:tc>
        <w:tc>
          <w:tcPr>
            <w:tcW w:w="1350"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Level Detected</w:t>
            </w:r>
          </w:p>
        </w:tc>
        <w:tc>
          <w:tcPr>
            <w:tcW w:w="1530"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Range of Detections</w:t>
            </w:r>
          </w:p>
        </w:tc>
        <w:tc>
          <w:tcPr>
            <w:tcW w:w="1800"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Notification Level</w:t>
            </w:r>
          </w:p>
        </w:tc>
        <w:tc>
          <w:tcPr>
            <w:tcW w:w="2470"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 xml:space="preserve">Health Effects </w:t>
            </w:r>
          </w:p>
        </w:tc>
      </w:tr>
      <w:tr>
        <w:trPr>
          <w:trHeight w:val="432" w:hRule="atLeast"/>
        </w:trPr>
        <w:tc>
          <w:tcPr>
            <w:tcW w:w="2245"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FFFFFF" w:themeColor="background1"/>
                <w:kern w:val="0"/>
                <w:sz w:val="24"/>
                <w:szCs w:val="24"/>
                <w:lang w:val="en-US" w:eastAsia="en-US" w:bidi="ar-SA"/>
              </w:rPr>
              <w:t>nana</w:t>
            </w:r>
          </w:p>
        </w:tc>
        <w:tc>
          <w:tcPr>
            <w:tcW w:w="1440"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Date]</w:t>
            </w:r>
          </w:p>
        </w:tc>
        <w:tc>
          <w:tcPr>
            <w:tcW w:w="1350"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No.]</w:t>
            </w:r>
          </w:p>
        </w:tc>
        <w:tc>
          <w:tcPr>
            <w:tcW w:w="1530"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Range]</w:t>
            </w:r>
          </w:p>
        </w:tc>
        <w:tc>
          <w:tcPr>
            <w:tcW w:w="1800"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No.]</w:t>
            </w:r>
          </w:p>
        </w:tc>
        <w:tc>
          <w:tcPr>
            <w:tcW w:w="2470"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Language]</w:t>
            </w:r>
          </w:p>
        </w:tc>
      </w:tr>
      <w:tr>
        <w:trPr>
          <w:trHeight w:val="432" w:hRule="atLeast"/>
        </w:trPr>
        <w:tc>
          <w:tcPr>
            <w:tcW w:w="2245"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Contaminant]</w:t>
            </w:r>
          </w:p>
        </w:tc>
        <w:tc>
          <w:tcPr>
            <w:tcW w:w="1440"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Date]</w:t>
            </w:r>
          </w:p>
        </w:tc>
        <w:tc>
          <w:tcPr>
            <w:tcW w:w="1350"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No.]</w:t>
            </w:r>
          </w:p>
        </w:tc>
        <w:tc>
          <w:tcPr>
            <w:tcW w:w="1530"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Range]</w:t>
            </w:r>
          </w:p>
        </w:tc>
        <w:tc>
          <w:tcPr>
            <w:tcW w:w="1800"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No.]</w:t>
            </w:r>
          </w:p>
        </w:tc>
        <w:tc>
          <w:tcPr>
            <w:tcW w:w="2470"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Language]</w:t>
            </w:r>
          </w:p>
        </w:tc>
      </w:tr>
      <w:tr>
        <w:trPr>
          <w:trHeight w:val="432" w:hRule="atLeast"/>
        </w:trPr>
        <w:tc>
          <w:tcPr>
            <w:tcW w:w="2245"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Contaminant]</w:t>
            </w:r>
          </w:p>
        </w:tc>
        <w:tc>
          <w:tcPr>
            <w:tcW w:w="1440"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Date]</w:t>
            </w:r>
          </w:p>
        </w:tc>
        <w:tc>
          <w:tcPr>
            <w:tcW w:w="1350"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No.]</w:t>
            </w:r>
          </w:p>
        </w:tc>
        <w:tc>
          <w:tcPr>
            <w:tcW w:w="1530"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Range]</w:t>
            </w:r>
          </w:p>
        </w:tc>
        <w:tc>
          <w:tcPr>
            <w:tcW w:w="1800" w:type="dxa"/>
            <w:tcBorders/>
          </w:tcPr>
          <w:p>
            <w:pPr>
              <w:pStyle w:val="Normal"/>
              <w:widowControl w:val="false"/>
              <w:suppressAutoHyphens w:val="true"/>
              <w:spacing w:before="40" w:after="40"/>
              <w:jc w:val="center"/>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No.]</w:t>
            </w:r>
          </w:p>
        </w:tc>
        <w:tc>
          <w:tcPr>
            <w:tcW w:w="2470"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Language]</w:t>
            </w:r>
          </w:p>
        </w:tc>
      </w:tr>
    </w:tbl>
    <w:p>
      <w:pPr>
        <w:pStyle w:val="Heading3"/>
        <w:rPr/>
      </w:pPr>
      <w:bookmarkStart w:id="8" w:name="_Toc58336719"/>
      <w:r>
        <w:rPr/>
        <w:t>Additional General Information on Drinking Water</w:t>
      </w:r>
      <w:bookmarkEnd w:id="8"/>
    </w:p>
    <w:p>
      <w:pPr>
        <w:pStyle w:val="TextBody"/>
        <w:tabs>
          <w:tab w:val="clear" w:pos="720"/>
          <w:tab w:val="left" w:pos="9900" w:leader="none"/>
        </w:tabs>
        <w:spacing w:before="0" w:after="240"/>
        <w:jc w:val="left"/>
        <w:rPr>
          <w:rFonts w:ascii="Arial" w:hAnsi="Arial" w:cs="Arial"/>
          <w:sz w:val="24"/>
          <w:szCs w:val="24"/>
        </w:rPr>
      </w:pPr>
      <w:r>
        <w:rPr>
          <w:rFonts w:cs="Arial" w:ascii="Arial" w:hAnsi="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pPr>
        <w:pStyle w:val="TextBody"/>
        <w:spacing w:before="0" w:after="240"/>
        <w:jc w:val="left"/>
        <w:rPr>
          <w:rFonts w:ascii="Arial" w:hAnsi="Arial" w:cs="Arial"/>
          <w:sz w:val="24"/>
          <w:szCs w:val="24"/>
        </w:rPr>
      </w:pPr>
      <w:r>
        <w:rPr>
          <w:rFonts w:cs="Arial" w:ascii="Arial" w:hAnsi="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Pr>
          <w:rFonts w:cs="Arial" w:ascii="Arial" w:hAnsi="Arial"/>
          <w:i/>
          <w:sz w:val="24"/>
          <w:szCs w:val="24"/>
        </w:rPr>
        <w:t>Cryptosporidium</w:t>
      </w:r>
      <w:r>
        <w:rPr>
          <w:rFonts w:cs="Arial" w:ascii="Arial" w:hAnsi="Arial"/>
          <w:sz w:val="24"/>
          <w:szCs w:val="24"/>
        </w:rPr>
        <w:t xml:space="preserve"> and other microbial contaminants are available from the Safe Drinking Water Hotline (1-800-426-4791).</w:t>
      </w:r>
    </w:p>
    <w:p>
      <w:pPr>
        <w:pStyle w:val="Normal"/>
        <w:spacing w:before="0" w:after="240"/>
        <w:rPr>
          <w:rFonts w:ascii="Arial" w:hAnsi="Arial" w:cs="Arial"/>
          <w:sz w:val="24"/>
          <w:szCs w:val="24"/>
        </w:rPr>
      </w:pPr>
      <w:r>
        <w:rPr>
          <w:rFonts w:cs="Arial" w:ascii="Arial" w:hAnsi="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Pr>
          <w:rFonts w:cs="Arial" w:ascii="Arial" w:hAnsi="Arial"/>
          <w:bCs/>
          <w:sz w:val="24"/>
          <w:szCs w:val="24"/>
          <w:u w:val="single"/>
        </w:rPr>
        <w:t>Kelly Mutual Water Company</w:t>
      </w:r>
      <w:r>
        <w:rPr>
          <w:rFonts w:cs="Arial" w:ascii="Arial" w:hAnsi="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Pr>
          <w:rFonts w:cs="Arial" w:ascii="Arial" w:hAnsi="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2">
        <w:r>
          <w:rPr>
            <w:rStyle w:val="InternetLink"/>
            <w:rFonts w:cs="Arial" w:ascii="Arial" w:hAnsi="Arial"/>
            <w:color w:val="auto"/>
            <w:sz w:val="24"/>
            <w:szCs w:val="24"/>
          </w:rPr>
          <w:t>http://www.epa.gov/lead</w:t>
        </w:r>
      </w:hyperlink>
      <w:r>
        <w:rPr>
          <w:rFonts w:cs="Arial" w:ascii="Arial" w:hAnsi="Arial"/>
          <w:sz w:val="24"/>
          <w:szCs w:val="24"/>
        </w:rPr>
        <w:t>.</w:t>
      </w:r>
    </w:p>
    <w:p>
      <w:pPr>
        <w:pStyle w:val="Normal"/>
        <w:spacing w:before="0" w:after="240"/>
        <w:rPr>
          <w:rFonts w:ascii="Arial" w:hAnsi="Arial" w:cs="Arial"/>
          <w:bCs/>
          <w:sz w:val="24"/>
        </w:rPr>
      </w:pPr>
      <w:r>
        <w:rPr>
          <w:rFonts w:cs="Arial" w:ascii="Arial" w:hAnsi="Arial"/>
          <w:bCs/>
          <w:sz w:val="24"/>
        </w:rPr>
        <w:t xml:space="preserve">Additional Special Language for Nitrate, Arsenic, Lead, Radon, and </w:t>
      </w:r>
      <w:r>
        <w:rPr>
          <w:rFonts w:cs="Arial" w:ascii="Arial" w:hAnsi="Arial"/>
          <w:bCs/>
          <w:i/>
          <w:sz w:val="24"/>
        </w:rPr>
        <w:t>Cryptosporidium</w:t>
      </w:r>
      <w:r>
        <w:rPr>
          <w:rFonts w:cs="Arial" w:ascii="Arial" w:hAnsi="Arial"/>
          <w:bCs/>
          <w:sz w:val="24"/>
        </w:rPr>
        <w:t xml:space="preserve">:  </w:t>
      </w:r>
      <w:r>
        <w:rPr>
          <w:rFonts w:eastAsia="Times New Roman" w:cs="Arial" w:ascii="Arial" w:hAnsi="Arial"/>
          <w:bCs/>
          <w:kern w:val="0"/>
          <w:sz w:val="24"/>
          <w:szCs w:val="24"/>
          <w:lang w:val="en-US" w:eastAsia="en-US" w:bidi="ar-SA"/>
        </w:rPr>
        <w:t>Some people who drink water containing arsenic in excess of the MCL over many years may experience skin damage or circulatory system problems, and may have an increased risk of getting cancer.</w:t>
      </w:r>
    </w:p>
    <w:p>
      <w:pPr>
        <w:pStyle w:val="Normal"/>
        <w:spacing w:before="0" w:after="240"/>
        <w:rPr>
          <w:rFonts w:ascii="Arial" w:hAnsi="Arial" w:cs="Arial"/>
          <w:sz w:val="24"/>
          <w:szCs w:val="24"/>
        </w:rPr>
      </w:pPr>
      <w:r>
        <w:rPr>
          <w:rFonts w:cs="Arial" w:ascii="Arial" w:hAnsi="Arial"/>
          <w:sz w:val="24"/>
          <w:szCs w:val="24"/>
          <w:highlight w:val="yellow"/>
        </w:rPr>
        <w:t>State Revised Total Coliform Rule (RTCR): [Enter Additional Information Described in Instructions for SWS CCR Document]</w:t>
      </w:r>
    </w:p>
    <w:p>
      <w:pPr>
        <w:pStyle w:val="Heading3"/>
        <w:keepNext w:val="true"/>
        <w:rPr/>
      </w:pPr>
      <w:bookmarkStart w:id="9" w:name="_Toc58336720"/>
      <w:r>
        <w:rPr/>
        <w:t>Summary Information for Violation of a MCL, MRDL, AL, TT, or Monitoring and Reporting Requirement</w:t>
      </w:r>
      <w:bookmarkEnd w:id="9"/>
    </w:p>
    <w:p>
      <w:pPr>
        <w:pStyle w:val="Caption1"/>
        <w:spacing w:beforeAutospacing="1" w:after="120"/>
        <w:rPr/>
      </w:pPr>
      <w:r>
        <w:rPr/>
        <w:t>Table 7. Violation of a MCL, MRDL, AL, TT or Monitoring Reporting Requirement</w:t>
      </w:r>
    </w:p>
    <w:tbl>
      <w:tblPr>
        <w:tblStyle w:val="TableGrid"/>
        <w:tblW w:w="10642" w:type="dxa"/>
        <w:jc w:val="left"/>
        <w:tblInd w:w="0" w:type="dxa"/>
        <w:tblLayout w:type="fixed"/>
        <w:tblCellMar>
          <w:top w:w="0" w:type="dxa"/>
          <w:left w:w="58" w:type="dxa"/>
          <w:bottom w:w="0" w:type="dxa"/>
          <w:right w:w="58" w:type="dxa"/>
        </w:tblCellMar>
        <w:tblLook w:firstRow="1" w:noVBand="0" w:lastRow="0" w:firstColumn="0" w:lastColumn="0" w:noHBand="0" w:val="0020"/>
      </w:tblPr>
      <w:tblGrid>
        <w:gridCol w:w="1975"/>
        <w:gridCol w:w="2246"/>
        <w:gridCol w:w="1890"/>
        <w:gridCol w:w="2164"/>
        <w:gridCol w:w="2367"/>
      </w:tblGrid>
      <w:tr>
        <w:trPr>
          <w:trHeight w:val="457" w:hRule="atLeast"/>
        </w:trPr>
        <w:tc>
          <w:tcPr>
            <w:tcW w:w="1975" w:type="dxa"/>
            <w:tcBorders/>
            <w:vAlign w:val="center"/>
          </w:tcPr>
          <w:p>
            <w:pPr>
              <w:pStyle w:val="Normal"/>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Violation</w:t>
            </w:r>
          </w:p>
        </w:tc>
        <w:tc>
          <w:tcPr>
            <w:tcW w:w="2246" w:type="dxa"/>
            <w:tcBorders/>
            <w:vAlign w:val="center"/>
          </w:tcPr>
          <w:p>
            <w:pPr>
              <w:pStyle w:val="Normal"/>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Explanation</w:t>
            </w:r>
          </w:p>
        </w:tc>
        <w:tc>
          <w:tcPr>
            <w:tcW w:w="1890" w:type="dxa"/>
            <w:tcBorders/>
            <w:vAlign w:val="center"/>
          </w:tcPr>
          <w:p>
            <w:pPr>
              <w:pStyle w:val="Normal"/>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Duration</w:t>
            </w:r>
          </w:p>
        </w:tc>
        <w:tc>
          <w:tcPr>
            <w:tcW w:w="2164" w:type="dxa"/>
            <w:tcBorders/>
            <w:vAlign w:val="center"/>
          </w:tcPr>
          <w:p>
            <w:pPr>
              <w:pStyle w:val="Normal"/>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Actions Taken to Correct Violation</w:t>
            </w:r>
          </w:p>
        </w:tc>
        <w:tc>
          <w:tcPr>
            <w:tcW w:w="2367" w:type="dxa"/>
            <w:tcBorders/>
            <w:vAlign w:val="center"/>
          </w:tcPr>
          <w:p>
            <w:pPr>
              <w:pStyle w:val="Normal"/>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Health Effects Language</w:t>
            </w:r>
          </w:p>
        </w:tc>
      </w:tr>
      <w:tr>
        <w:trPr>
          <w:trHeight w:val="449" w:hRule="atLeast"/>
        </w:trPr>
        <w:tc>
          <w:tcPr>
            <w:tcW w:w="1975" w:type="dxa"/>
            <w:tcBorders/>
          </w:tcPr>
          <w:p>
            <w:pPr>
              <w:pStyle w:val="Normal"/>
              <w:widowControl w:val="false"/>
              <w:rPr>
                <w:sz w:val="24"/>
                <w:szCs w:val="24"/>
              </w:rPr>
            </w:pPr>
            <w:r>
              <w:rPr>
                <w:sz w:val="24"/>
                <w:szCs w:val="24"/>
              </w:rPr>
              <w:t>none</w:t>
            </w:r>
          </w:p>
        </w:tc>
        <w:tc>
          <w:tcPr>
            <w:tcW w:w="2246"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kern w:val="0"/>
                <w:sz w:val="24"/>
                <w:szCs w:val="24"/>
                <w:lang w:val="en-US" w:eastAsia="en-US" w:bidi="ar-SA"/>
              </w:rPr>
              <w:t>[Enter Violation Explanation]</w:t>
            </w:r>
          </w:p>
        </w:tc>
        <w:tc>
          <w:tcPr>
            <w:tcW w:w="1890"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Duration]</w:t>
            </w:r>
          </w:p>
        </w:tc>
        <w:tc>
          <w:tcPr>
            <w:tcW w:w="2164"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kern w:val="0"/>
                <w:sz w:val="24"/>
                <w:szCs w:val="24"/>
                <w:lang w:val="en-US" w:eastAsia="en-US" w:bidi="ar-SA"/>
              </w:rPr>
              <w:t>[Enter Actions Taken]</w:t>
            </w:r>
          </w:p>
        </w:tc>
        <w:tc>
          <w:tcPr>
            <w:tcW w:w="2367"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Language]</w:t>
            </w:r>
          </w:p>
        </w:tc>
      </w:tr>
      <w:tr>
        <w:trPr>
          <w:trHeight w:val="449" w:hRule="atLeast"/>
        </w:trPr>
        <w:tc>
          <w:tcPr>
            <w:tcW w:w="1975"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 xml:space="preserve">[Enter </w:t>
            </w:r>
            <w:r>
              <w:rPr>
                <w:rFonts w:eastAsia="Times New Roman" w:cs="Arial" w:ascii="Arial" w:hAnsi="Arial"/>
                <w:kern w:val="0"/>
                <w:sz w:val="24"/>
                <w:szCs w:val="24"/>
                <w:lang w:val="en-US" w:eastAsia="en-US" w:bidi="ar-SA"/>
              </w:rPr>
              <w:t>Violation Type]</w:t>
            </w:r>
          </w:p>
        </w:tc>
        <w:tc>
          <w:tcPr>
            <w:tcW w:w="2246"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kern w:val="0"/>
                <w:sz w:val="24"/>
                <w:szCs w:val="24"/>
                <w:lang w:val="en-US" w:eastAsia="en-US" w:bidi="ar-SA"/>
              </w:rPr>
              <w:t>[Enter Violation Explanation]</w:t>
            </w:r>
          </w:p>
        </w:tc>
        <w:tc>
          <w:tcPr>
            <w:tcW w:w="1890"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Duration]</w:t>
            </w:r>
          </w:p>
        </w:tc>
        <w:tc>
          <w:tcPr>
            <w:tcW w:w="2164"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kern w:val="0"/>
                <w:sz w:val="24"/>
                <w:szCs w:val="24"/>
                <w:lang w:val="en-US" w:eastAsia="en-US" w:bidi="ar-SA"/>
              </w:rPr>
              <w:t>Enter Actions Taken]</w:t>
            </w:r>
          </w:p>
        </w:tc>
        <w:tc>
          <w:tcPr>
            <w:tcW w:w="2367"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Language]</w:t>
            </w:r>
          </w:p>
        </w:tc>
      </w:tr>
    </w:tbl>
    <w:p>
      <w:pPr>
        <w:pStyle w:val="Normal"/>
        <w:rPr>
          <w:rFonts w:ascii="Arial" w:hAnsi="Arial" w:cs="Arial"/>
          <w:sz w:val="24"/>
          <w:szCs w:val="24"/>
        </w:rPr>
      </w:pPr>
      <w:r>
        <w:rPr>
          <w:rFonts w:cs="Arial" w:ascii="Arial" w:hAnsi="Arial"/>
          <w:sz w:val="24"/>
          <w:szCs w:val="24"/>
        </w:rPr>
      </w:r>
    </w:p>
    <w:p>
      <w:pPr>
        <w:pStyle w:val="Heading3"/>
        <w:keepNext w:val="true"/>
        <w:rPr/>
      </w:pPr>
      <w:bookmarkStart w:id="10" w:name="_Toc58336721"/>
      <w:r>
        <w:rPr/>
        <w:t>For Water Systems Providing Groundwater as a Source of Drinking Water</w:t>
      </w:r>
      <w:bookmarkEnd w:id="10"/>
    </w:p>
    <w:p>
      <w:pPr>
        <w:pStyle w:val="Caption1"/>
        <w:keepNext w:val="false"/>
        <w:spacing w:before="0" w:after="120"/>
        <w:rPr/>
      </w:pPr>
      <w:r>
        <w:rPr/>
        <w:t>Table 8.  Sampling Results Showing Fecal Indicator-Positive Groundwater Source Samples</w:t>
      </w:r>
    </w:p>
    <w:tbl>
      <w:tblPr>
        <w:tblStyle w:val="TableGrid"/>
        <w:tblW w:w="10836" w:type="dxa"/>
        <w:jc w:val="left"/>
        <w:tblInd w:w="0" w:type="dxa"/>
        <w:tblLayout w:type="fixed"/>
        <w:tblCellMar>
          <w:top w:w="0" w:type="dxa"/>
          <w:left w:w="58" w:type="dxa"/>
          <w:bottom w:w="0" w:type="dxa"/>
          <w:right w:w="58" w:type="dxa"/>
        </w:tblCellMar>
        <w:tblLook w:firstRow="1" w:noVBand="0" w:lastRow="0" w:firstColumn="0" w:lastColumn="0" w:noHBand="0" w:val="0020"/>
      </w:tblPr>
      <w:tblGrid>
        <w:gridCol w:w="2515"/>
        <w:gridCol w:w="1620"/>
        <w:gridCol w:w="1440"/>
        <w:gridCol w:w="1080"/>
        <w:gridCol w:w="1439"/>
        <w:gridCol w:w="2741"/>
      </w:tblGrid>
      <w:tr>
        <w:trPr>
          <w:tblHeader w:val="true"/>
        </w:trPr>
        <w:tc>
          <w:tcPr>
            <w:tcW w:w="2515" w:type="dxa"/>
            <w:tcBorders/>
            <w:vAlign w:val="center"/>
          </w:tcPr>
          <w:p>
            <w:pPr>
              <w:pStyle w:val="Normal"/>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Microbiological Contaminants (complete if fecal-indicator detected)</w:t>
            </w:r>
          </w:p>
        </w:tc>
        <w:tc>
          <w:tcPr>
            <w:tcW w:w="1620" w:type="dxa"/>
            <w:tcBorders/>
            <w:vAlign w:val="center"/>
          </w:tcPr>
          <w:p>
            <w:pPr>
              <w:pStyle w:val="Normal"/>
              <w:widowControl w:val="false"/>
              <w:suppressAutoHyphens w:val="true"/>
              <w:spacing w:lineRule="exact" w:line="220" w:before="40" w:after="40"/>
              <w:ind w:left="-108" w:right="-90" w:hanging="0"/>
              <w:jc w:val="center"/>
              <w:rPr>
                <w:rFonts w:ascii="Arial" w:hAnsi="Arial" w:cs="Arial"/>
                <w:b/>
                <w:b/>
                <w:sz w:val="24"/>
                <w:szCs w:val="24"/>
              </w:rPr>
            </w:pPr>
            <w:r>
              <w:rPr>
                <w:rFonts w:eastAsia="Times New Roman" w:cs="Arial" w:ascii="Arial" w:hAnsi="Arial"/>
                <w:b/>
                <w:kern w:val="0"/>
                <w:sz w:val="24"/>
                <w:szCs w:val="24"/>
                <w:lang w:val="en-US" w:eastAsia="en-US" w:bidi="ar-SA"/>
              </w:rPr>
              <w:t>Total No. of Detections</w:t>
            </w:r>
          </w:p>
        </w:tc>
        <w:tc>
          <w:tcPr>
            <w:tcW w:w="1440" w:type="dxa"/>
            <w:tcBorders/>
            <w:vAlign w:val="center"/>
          </w:tcPr>
          <w:p>
            <w:pPr>
              <w:pStyle w:val="Normal"/>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Sample Dates</w:t>
            </w:r>
          </w:p>
        </w:tc>
        <w:tc>
          <w:tcPr>
            <w:tcW w:w="1080" w:type="dxa"/>
            <w:tcBorders/>
            <w:vAlign w:val="center"/>
          </w:tcPr>
          <w:p>
            <w:pPr>
              <w:pStyle w:val="Normal"/>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MCL [MRDL]</w:t>
            </w:r>
          </w:p>
        </w:tc>
        <w:tc>
          <w:tcPr>
            <w:tcW w:w="1439" w:type="dxa"/>
            <w:tcBorders/>
            <w:vAlign w:val="center"/>
          </w:tcPr>
          <w:p>
            <w:pPr>
              <w:pStyle w:val="Normal"/>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PHG (MCLG) [MRDLG]</w:t>
            </w:r>
          </w:p>
        </w:tc>
        <w:tc>
          <w:tcPr>
            <w:tcW w:w="2741" w:type="dxa"/>
            <w:tcBorders/>
            <w:vAlign w:val="center"/>
          </w:tcPr>
          <w:p>
            <w:pPr>
              <w:pStyle w:val="Normal"/>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Typical Source of Contaminant</w:t>
            </w:r>
          </w:p>
        </w:tc>
      </w:tr>
      <w:tr>
        <w:trPr>
          <w:tblHeader w:val="true"/>
          <w:trHeight w:val="504" w:hRule="atLeast"/>
        </w:trPr>
        <w:tc>
          <w:tcPr>
            <w:tcW w:w="2515" w:type="dxa"/>
            <w:tcBorders/>
          </w:tcPr>
          <w:p>
            <w:pPr>
              <w:pStyle w:val="Normal"/>
              <w:widowControl w:val="false"/>
              <w:suppressAutoHyphens w:val="true"/>
              <w:spacing w:before="40" w:after="40"/>
              <w:jc w:val="left"/>
              <w:rPr>
                <w:rFonts w:ascii="Arial" w:hAnsi="Arial" w:cs="Arial"/>
                <w:i/>
                <w:i/>
                <w:sz w:val="24"/>
                <w:szCs w:val="24"/>
              </w:rPr>
            </w:pPr>
            <w:r>
              <w:rPr>
                <w:rFonts w:eastAsia="Times New Roman" w:cs="Arial" w:ascii="Arial" w:hAnsi="Arial"/>
                <w:i/>
                <w:kern w:val="0"/>
                <w:sz w:val="24"/>
                <w:szCs w:val="24"/>
                <w:lang w:val="en-US" w:eastAsia="en-US" w:bidi="ar-SA"/>
              </w:rPr>
              <w:t>E. coli</w:t>
            </w:r>
          </w:p>
        </w:tc>
        <w:tc>
          <w:tcPr>
            <w:tcW w:w="1620"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(In the year)</w:t>
            </w:r>
          </w:p>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0</w:t>
            </w:r>
          </w:p>
        </w:tc>
        <w:tc>
          <w:tcPr>
            <w:tcW w:w="1440"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[Enter Dates]</w:t>
            </w:r>
          </w:p>
        </w:tc>
        <w:tc>
          <w:tcPr>
            <w:tcW w:w="1080"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0</w:t>
            </w:r>
          </w:p>
        </w:tc>
        <w:tc>
          <w:tcPr>
            <w:tcW w:w="1439"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(0)</w:t>
            </w:r>
          </w:p>
        </w:tc>
        <w:tc>
          <w:tcPr>
            <w:tcW w:w="2741" w:type="dxa"/>
            <w:tcBorders/>
          </w:tcPr>
          <w:p>
            <w:pPr>
              <w:pStyle w:val="Normal"/>
              <w:widowControl w:val="false"/>
              <w:suppressAutoHyphens w:val="true"/>
              <w:spacing w:before="40" w:after="40"/>
              <w:jc w:val="left"/>
              <w:rPr>
                <w:rFonts w:ascii="Arial" w:hAnsi="Arial" w:cs="Arial"/>
                <w:sz w:val="24"/>
                <w:szCs w:val="24"/>
              </w:rPr>
            </w:pPr>
            <w:r>
              <w:rPr>
                <w:rFonts w:eastAsia="Times New Roman" w:cs="Arial" w:ascii="Arial" w:hAnsi="Arial"/>
                <w:kern w:val="0"/>
                <w:sz w:val="24"/>
                <w:szCs w:val="24"/>
                <w:lang w:val="en-US" w:eastAsia="en-US" w:bidi="ar-SA"/>
              </w:rPr>
              <w:t>Human and animal fecal waste</w:t>
            </w:r>
          </w:p>
        </w:tc>
      </w:tr>
      <w:tr>
        <w:trPr>
          <w:tblHeader w:val="true"/>
          <w:trHeight w:val="504" w:hRule="atLeast"/>
        </w:trPr>
        <w:tc>
          <w:tcPr>
            <w:tcW w:w="2515" w:type="dxa"/>
            <w:tcBorders/>
          </w:tcPr>
          <w:p>
            <w:pPr>
              <w:pStyle w:val="Normal"/>
              <w:widowControl w:val="false"/>
              <w:suppressAutoHyphens w:val="true"/>
              <w:spacing w:before="40" w:after="40"/>
              <w:jc w:val="left"/>
              <w:rPr>
                <w:rFonts w:ascii="Arial" w:hAnsi="Arial" w:cs="Arial"/>
                <w:sz w:val="24"/>
                <w:szCs w:val="24"/>
              </w:rPr>
            </w:pPr>
            <w:r>
              <w:rPr>
                <w:rFonts w:eastAsia="Times New Roman" w:cs="Arial" w:ascii="Arial" w:hAnsi="Arial"/>
                <w:kern w:val="0"/>
                <w:sz w:val="24"/>
                <w:szCs w:val="24"/>
                <w:lang w:val="en-US" w:eastAsia="en-US" w:bidi="ar-SA"/>
              </w:rPr>
              <w:t>Enterococci</w:t>
            </w:r>
          </w:p>
        </w:tc>
        <w:tc>
          <w:tcPr>
            <w:tcW w:w="1620"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(In the year)</w:t>
            </w:r>
          </w:p>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[Enter No.]</w:t>
            </w:r>
          </w:p>
        </w:tc>
        <w:tc>
          <w:tcPr>
            <w:tcW w:w="1440"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[Enter Dates]</w:t>
            </w:r>
          </w:p>
        </w:tc>
        <w:tc>
          <w:tcPr>
            <w:tcW w:w="1080"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TT</w:t>
            </w:r>
          </w:p>
        </w:tc>
        <w:tc>
          <w:tcPr>
            <w:tcW w:w="1439"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N/A</w:t>
            </w:r>
          </w:p>
        </w:tc>
        <w:tc>
          <w:tcPr>
            <w:tcW w:w="2741" w:type="dxa"/>
            <w:tcBorders/>
          </w:tcPr>
          <w:p>
            <w:pPr>
              <w:pStyle w:val="Normal"/>
              <w:widowControl w:val="false"/>
              <w:suppressAutoHyphens w:val="true"/>
              <w:spacing w:before="40" w:after="40"/>
              <w:jc w:val="left"/>
              <w:rPr>
                <w:rFonts w:ascii="Arial" w:hAnsi="Arial" w:cs="Arial"/>
                <w:sz w:val="24"/>
                <w:szCs w:val="24"/>
              </w:rPr>
            </w:pPr>
            <w:r>
              <w:rPr>
                <w:rFonts w:eastAsia="Times New Roman" w:cs="Arial" w:ascii="Arial" w:hAnsi="Arial"/>
                <w:kern w:val="0"/>
                <w:sz w:val="24"/>
                <w:szCs w:val="24"/>
                <w:lang w:val="en-US" w:eastAsia="en-US" w:bidi="ar-SA"/>
              </w:rPr>
              <w:t>Human and animal fecal waste</w:t>
            </w:r>
          </w:p>
        </w:tc>
      </w:tr>
      <w:tr>
        <w:trPr>
          <w:tblHeader w:val="true"/>
          <w:trHeight w:val="504" w:hRule="atLeast"/>
        </w:trPr>
        <w:tc>
          <w:tcPr>
            <w:tcW w:w="2515" w:type="dxa"/>
            <w:tcBorders/>
          </w:tcPr>
          <w:p>
            <w:pPr>
              <w:pStyle w:val="Normal"/>
              <w:widowControl w:val="false"/>
              <w:suppressAutoHyphens w:val="true"/>
              <w:spacing w:before="40" w:after="40"/>
              <w:jc w:val="left"/>
              <w:rPr>
                <w:rFonts w:ascii="Arial" w:hAnsi="Arial" w:cs="Arial"/>
                <w:sz w:val="24"/>
                <w:szCs w:val="24"/>
              </w:rPr>
            </w:pPr>
            <w:r>
              <w:rPr>
                <w:rFonts w:eastAsia="Times New Roman" w:cs="Arial" w:ascii="Arial" w:hAnsi="Arial"/>
                <w:kern w:val="0"/>
                <w:sz w:val="24"/>
                <w:szCs w:val="24"/>
                <w:lang w:val="en-US" w:eastAsia="en-US" w:bidi="ar-SA"/>
              </w:rPr>
              <w:t>Coliphage</w:t>
            </w:r>
          </w:p>
        </w:tc>
        <w:tc>
          <w:tcPr>
            <w:tcW w:w="1620"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(In the year)</w:t>
            </w:r>
          </w:p>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[Enter No.]</w:t>
            </w:r>
          </w:p>
        </w:tc>
        <w:tc>
          <w:tcPr>
            <w:tcW w:w="1440"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[Enter Dates]</w:t>
            </w:r>
          </w:p>
        </w:tc>
        <w:tc>
          <w:tcPr>
            <w:tcW w:w="1080"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TT</w:t>
            </w:r>
          </w:p>
        </w:tc>
        <w:tc>
          <w:tcPr>
            <w:tcW w:w="1439" w:type="dxa"/>
            <w:tcBorders/>
          </w:tcPr>
          <w:p>
            <w:pPr>
              <w:pStyle w:val="Normal"/>
              <w:widowControl w:val="false"/>
              <w:suppressAutoHyphens w:val="true"/>
              <w:spacing w:before="40" w:after="40"/>
              <w:jc w:val="center"/>
              <w:rPr>
                <w:rFonts w:ascii="Arial" w:hAnsi="Arial" w:cs="Arial"/>
                <w:sz w:val="24"/>
                <w:szCs w:val="24"/>
              </w:rPr>
            </w:pPr>
            <w:r>
              <w:rPr>
                <w:rFonts w:eastAsia="Times New Roman" w:cs="Arial" w:ascii="Arial" w:hAnsi="Arial"/>
                <w:kern w:val="0"/>
                <w:sz w:val="24"/>
                <w:szCs w:val="24"/>
                <w:lang w:val="en-US" w:eastAsia="en-US" w:bidi="ar-SA"/>
              </w:rPr>
              <w:t>N/A</w:t>
            </w:r>
          </w:p>
        </w:tc>
        <w:tc>
          <w:tcPr>
            <w:tcW w:w="2741" w:type="dxa"/>
            <w:tcBorders/>
          </w:tcPr>
          <w:p>
            <w:pPr>
              <w:pStyle w:val="Normal"/>
              <w:widowControl w:val="false"/>
              <w:suppressAutoHyphens w:val="true"/>
              <w:spacing w:before="40" w:after="40"/>
              <w:jc w:val="left"/>
              <w:rPr>
                <w:rFonts w:ascii="Arial" w:hAnsi="Arial" w:cs="Arial"/>
                <w:sz w:val="24"/>
                <w:szCs w:val="24"/>
              </w:rPr>
            </w:pPr>
            <w:r>
              <w:rPr>
                <w:rFonts w:eastAsia="Times New Roman" w:cs="Arial" w:ascii="Arial" w:hAnsi="Arial"/>
                <w:kern w:val="0"/>
                <w:sz w:val="24"/>
                <w:szCs w:val="24"/>
                <w:lang w:val="en-US" w:eastAsia="en-US" w:bidi="ar-SA"/>
              </w:rPr>
              <w:t>Human and animal fecal waste</w:t>
            </w:r>
          </w:p>
        </w:tc>
      </w:tr>
    </w:tbl>
    <w:p>
      <w:pPr>
        <w:pStyle w:val="Heading3"/>
        <w:rPr>
          <w:sz w:val="28"/>
        </w:rPr>
      </w:pPr>
      <w:bookmarkStart w:id="11" w:name="_Toc58336722"/>
      <w:r>
        <w:rPr/>
        <w:t>Summary Information for Fecal Indicator-Positive Groundwater Source Samples, Uncorrected Significant Deficiencies, or Violation of a Groundwater TT</w:t>
      </w:r>
      <w:bookmarkEnd w:id="11"/>
    </w:p>
    <w:tbl>
      <w:tblPr>
        <w:tblStyle w:val="TableGrid"/>
        <w:tblW w:w="1079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790"/>
      </w:tblGrid>
      <w:tr>
        <w:trPr/>
        <w:tc>
          <w:tcPr>
            <w:tcW w:w="10790" w:type="dxa"/>
            <w:tcBorders/>
          </w:tcPr>
          <w:p>
            <w:pPr>
              <w:pStyle w:val="Normal"/>
              <w:widowControl w:val="false"/>
              <w:suppressAutoHyphens w:val="true"/>
              <w:spacing w:before="0" w:after="240"/>
              <w:jc w:val="left"/>
              <w:rPr>
                <w:rFonts w:ascii="Arial" w:hAnsi="Arial" w:cs="Arial"/>
                <w:sz w:val="24"/>
                <w:szCs w:val="24"/>
              </w:rPr>
            </w:pPr>
            <w:r>
              <w:rPr>
                <w:rFonts w:eastAsia="Times New Roman" w:cs="Arial" w:ascii="Arial" w:hAnsi="Arial"/>
                <w:b/>
                <w:bCs/>
                <w:kern w:val="0"/>
                <w:sz w:val="24"/>
                <w:szCs w:val="24"/>
                <w:lang w:val="en-US" w:eastAsia="en-US" w:bidi="ar-SA"/>
              </w:rPr>
              <w:t>Special Notice of Fecal Indicator-Positive Groundwater Source Sample:</w:t>
            </w:r>
            <w:r>
              <w:rPr>
                <w:rFonts w:eastAsia="Times New Roman" w:cs="Arial" w:ascii="Arial" w:hAnsi="Arial"/>
                <w:kern w:val="0"/>
                <w:sz w:val="24"/>
                <w:szCs w:val="24"/>
                <w:lang w:val="en-US" w:eastAsia="en-US" w:bidi="ar-SA"/>
              </w:rPr>
              <w:t xml:space="preserve"> [Enter Special Notice of Fecal Indicator-Positive Groundwater Source Sample]</w:t>
            </w:r>
          </w:p>
        </w:tc>
      </w:tr>
    </w:tbl>
    <w:p>
      <w:pPr>
        <w:pStyle w:val="Normal"/>
        <w:spacing w:before="0" w:afterAutospacing="1"/>
        <w:rPr>
          <w:rFonts w:ascii="Arial" w:hAnsi="Arial" w:cs="Arial"/>
          <w:sz w:val="24"/>
          <w:szCs w:val="24"/>
        </w:rPr>
      </w:pPr>
      <w:r>
        <w:rPr>
          <w:rFonts w:cs="Arial" w:ascii="Arial" w:hAnsi="Arial"/>
          <w:sz w:val="24"/>
          <w:szCs w:val="24"/>
        </w:rPr>
      </w:r>
    </w:p>
    <w:tbl>
      <w:tblPr>
        <w:tblStyle w:val="TableGrid"/>
        <w:tblW w:w="1079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790"/>
      </w:tblGrid>
      <w:tr>
        <w:trPr/>
        <w:tc>
          <w:tcPr>
            <w:tcW w:w="10790" w:type="dxa"/>
            <w:tcBorders/>
          </w:tcPr>
          <w:p>
            <w:pPr>
              <w:pStyle w:val="Normal"/>
              <w:widowControl w:val="false"/>
              <w:suppressAutoHyphens w:val="true"/>
              <w:spacing w:before="0" w:after="240"/>
              <w:jc w:val="left"/>
              <w:rPr>
                <w:rFonts w:ascii="Arial" w:hAnsi="Arial" w:cs="Arial"/>
                <w:sz w:val="24"/>
                <w:szCs w:val="24"/>
              </w:rPr>
            </w:pPr>
            <w:r>
              <w:rPr>
                <w:rFonts w:eastAsia="Times New Roman" w:cs="Arial" w:ascii="Arial" w:hAnsi="Arial"/>
                <w:b/>
                <w:bCs/>
                <w:kern w:val="0"/>
                <w:sz w:val="24"/>
                <w:szCs w:val="24"/>
                <w:lang w:val="en-US" w:eastAsia="en-US" w:bidi="ar-SA"/>
              </w:rPr>
              <w:t>Special Notice for Uncorrected Significant Deficiencies:</w:t>
            </w:r>
            <w:r>
              <w:rPr>
                <w:rFonts w:eastAsia="Times New Roman" w:cs="Arial" w:ascii="Arial" w:hAnsi="Arial"/>
                <w:kern w:val="0"/>
                <w:sz w:val="24"/>
                <w:szCs w:val="24"/>
                <w:lang w:val="en-US" w:eastAsia="en-US" w:bidi="ar-SA"/>
              </w:rPr>
              <w:t xml:space="preserve"> [Enter Special Notice for Uncorrected Significant Deficiencies]</w:t>
            </w:r>
          </w:p>
        </w:tc>
      </w:tr>
    </w:tbl>
    <w:p>
      <w:pPr>
        <w:pStyle w:val="Caption1"/>
        <w:spacing w:beforeAutospacing="1" w:after="120"/>
        <w:rPr/>
      </w:pPr>
      <w:r>
        <w:rPr/>
      </w:r>
    </w:p>
    <w:p>
      <w:pPr>
        <w:pStyle w:val="Caption1"/>
        <w:spacing w:beforeAutospacing="1" w:after="120"/>
        <w:rPr/>
      </w:pPr>
      <w:r>
        <w:rPr/>
        <w:t>Table 9. Violation of Groundwater TT</w:t>
      </w:r>
    </w:p>
    <w:tbl>
      <w:tblPr>
        <w:tblStyle w:val="TableGrid"/>
        <w:tblW w:w="10642" w:type="dxa"/>
        <w:jc w:val="left"/>
        <w:tblInd w:w="0" w:type="dxa"/>
        <w:tblLayout w:type="fixed"/>
        <w:tblCellMar>
          <w:top w:w="0" w:type="dxa"/>
          <w:left w:w="58" w:type="dxa"/>
          <w:bottom w:w="0" w:type="dxa"/>
          <w:right w:w="58" w:type="dxa"/>
        </w:tblCellMar>
        <w:tblLook w:firstRow="1" w:noVBand="0" w:lastRow="0" w:firstColumn="0" w:lastColumn="0" w:noHBand="0" w:val="0020"/>
      </w:tblPr>
      <w:tblGrid>
        <w:gridCol w:w="1975"/>
        <w:gridCol w:w="2246"/>
        <w:gridCol w:w="1890"/>
        <w:gridCol w:w="2164"/>
        <w:gridCol w:w="2367"/>
      </w:tblGrid>
      <w:tr>
        <w:trPr>
          <w:trHeight w:val="457" w:hRule="atLeast"/>
        </w:trPr>
        <w:tc>
          <w:tcPr>
            <w:tcW w:w="1975"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Violation</w:t>
            </w:r>
          </w:p>
        </w:tc>
        <w:tc>
          <w:tcPr>
            <w:tcW w:w="2246"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Explanation</w:t>
            </w:r>
          </w:p>
        </w:tc>
        <w:tc>
          <w:tcPr>
            <w:tcW w:w="1890"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Duration</w:t>
            </w:r>
          </w:p>
        </w:tc>
        <w:tc>
          <w:tcPr>
            <w:tcW w:w="2164"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Actions Taken to Correct Violation</w:t>
            </w:r>
          </w:p>
        </w:tc>
        <w:tc>
          <w:tcPr>
            <w:tcW w:w="2367"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Health Effects Language</w:t>
            </w:r>
          </w:p>
        </w:tc>
      </w:tr>
      <w:tr>
        <w:trPr>
          <w:trHeight w:val="449" w:hRule="atLeast"/>
        </w:trPr>
        <w:tc>
          <w:tcPr>
            <w:tcW w:w="1975" w:type="dxa"/>
            <w:tcBorders/>
          </w:tcPr>
          <w:p>
            <w:pPr>
              <w:pStyle w:val="Normal"/>
              <w:keepNext w:val="true"/>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 xml:space="preserve">[Enter </w:t>
            </w:r>
            <w:r>
              <w:rPr>
                <w:rFonts w:eastAsia="Times New Roman" w:cs="Arial" w:ascii="Arial" w:hAnsi="Arial"/>
                <w:kern w:val="0"/>
                <w:sz w:val="24"/>
                <w:szCs w:val="24"/>
                <w:lang w:val="en-US" w:eastAsia="en-US" w:bidi="ar-SA"/>
              </w:rPr>
              <w:t>Violation]</w:t>
            </w:r>
          </w:p>
        </w:tc>
        <w:tc>
          <w:tcPr>
            <w:tcW w:w="2246" w:type="dxa"/>
            <w:tcBorders/>
          </w:tcPr>
          <w:p>
            <w:pPr>
              <w:pStyle w:val="Normal"/>
              <w:keepNext w:val="true"/>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kern w:val="0"/>
                <w:sz w:val="24"/>
                <w:szCs w:val="24"/>
                <w:lang w:val="en-US" w:eastAsia="en-US" w:bidi="ar-SA"/>
              </w:rPr>
              <w:t>[Enter Explanation]</w:t>
            </w:r>
          </w:p>
        </w:tc>
        <w:tc>
          <w:tcPr>
            <w:tcW w:w="1890" w:type="dxa"/>
            <w:tcBorders/>
          </w:tcPr>
          <w:p>
            <w:pPr>
              <w:pStyle w:val="Normal"/>
              <w:keepNext w:val="true"/>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Duration]</w:t>
            </w:r>
          </w:p>
        </w:tc>
        <w:tc>
          <w:tcPr>
            <w:tcW w:w="2164" w:type="dxa"/>
            <w:tcBorders/>
          </w:tcPr>
          <w:p>
            <w:pPr>
              <w:pStyle w:val="Normal"/>
              <w:keepNext w:val="true"/>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kern w:val="0"/>
                <w:sz w:val="24"/>
                <w:szCs w:val="24"/>
                <w:lang w:val="en-US" w:eastAsia="en-US" w:bidi="ar-SA"/>
              </w:rPr>
              <w:t>[Enter Actions]</w:t>
            </w:r>
          </w:p>
        </w:tc>
        <w:tc>
          <w:tcPr>
            <w:tcW w:w="2367" w:type="dxa"/>
            <w:tcBorders/>
          </w:tcPr>
          <w:p>
            <w:pPr>
              <w:pStyle w:val="Normal"/>
              <w:keepNext w:val="true"/>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Language]</w:t>
            </w:r>
          </w:p>
        </w:tc>
      </w:tr>
      <w:tr>
        <w:trPr>
          <w:trHeight w:val="449" w:hRule="atLeast"/>
        </w:trPr>
        <w:tc>
          <w:tcPr>
            <w:tcW w:w="1975"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 xml:space="preserve">[Enter </w:t>
            </w:r>
            <w:r>
              <w:rPr>
                <w:rFonts w:eastAsia="Times New Roman" w:cs="Arial" w:ascii="Arial" w:hAnsi="Arial"/>
                <w:kern w:val="0"/>
                <w:sz w:val="24"/>
                <w:szCs w:val="24"/>
                <w:lang w:val="en-US" w:eastAsia="en-US" w:bidi="ar-SA"/>
              </w:rPr>
              <w:t>Violation]</w:t>
            </w:r>
          </w:p>
        </w:tc>
        <w:tc>
          <w:tcPr>
            <w:tcW w:w="2246"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kern w:val="0"/>
                <w:sz w:val="24"/>
                <w:szCs w:val="24"/>
                <w:lang w:val="en-US" w:eastAsia="en-US" w:bidi="ar-SA"/>
              </w:rPr>
              <w:t>[Enter Explanation]</w:t>
            </w:r>
          </w:p>
        </w:tc>
        <w:tc>
          <w:tcPr>
            <w:tcW w:w="1890"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Duration]</w:t>
            </w:r>
          </w:p>
        </w:tc>
        <w:tc>
          <w:tcPr>
            <w:tcW w:w="2164"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kern w:val="0"/>
                <w:sz w:val="24"/>
                <w:szCs w:val="24"/>
                <w:lang w:val="en-US" w:eastAsia="en-US" w:bidi="ar-SA"/>
              </w:rPr>
              <w:t>[Enter Actions]</w:t>
            </w:r>
          </w:p>
        </w:tc>
        <w:tc>
          <w:tcPr>
            <w:tcW w:w="2367" w:type="dxa"/>
            <w:tcBorders/>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Language]</w:t>
            </w:r>
          </w:p>
        </w:tc>
      </w:tr>
    </w:tbl>
    <w:p>
      <w:pPr>
        <w:pStyle w:val="Heading3"/>
        <w:keepNext w:val="true"/>
        <w:rPr/>
      </w:pPr>
      <w:bookmarkStart w:id="12" w:name="_Toc58336723"/>
      <w:r>
        <w:rPr/>
        <w:t>For Systems Providing Surface Water as a Source of Drinking Water</w:t>
      </w:r>
      <w:bookmarkEnd w:id="12"/>
    </w:p>
    <w:p>
      <w:pPr>
        <w:pStyle w:val="Caption1"/>
        <w:spacing w:before="120" w:after="120"/>
        <w:rPr/>
      </w:pPr>
      <w:r>
        <w:rPr/>
        <w:t>Table 10.  Sampling Results Showing Treatment of Surface Water Sources</w:t>
      </w:r>
    </w:p>
    <w:tbl>
      <w:tblPr>
        <w:tblStyle w:val="TableGrid"/>
        <w:tblW w:w="1077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045"/>
        <w:gridCol w:w="6725"/>
      </w:tblGrid>
      <w:tr>
        <w:trPr/>
        <w:tc>
          <w:tcPr>
            <w:tcW w:w="4045" w:type="dxa"/>
            <w:tcBorders/>
          </w:tcPr>
          <w:p>
            <w:pPr>
              <w:pStyle w:val="Normal"/>
              <w:keepNext w:val="true"/>
              <w:widowControl w:val="false"/>
              <w:suppressAutoHyphens w:val="true"/>
              <w:spacing w:before="40" w:after="40"/>
              <w:jc w:val="left"/>
              <w:rPr>
                <w:rFonts w:ascii="Arial" w:hAnsi="Arial" w:cs="Arial"/>
                <w:bCs/>
                <w:sz w:val="24"/>
                <w:szCs w:val="24"/>
              </w:rPr>
            </w:pPr>
            <w:r>
              <w:rPr>
                <w:rFonts w:eastAsia="Times New Roman" w:cs="Arial" w:ascii="Arial" w:hAnsi="Arial"/>
                <w:bCs/>
                <w:kern w:val="0"/>
                <w:sz w:val="24"/>
                <w:szCs w:val="24"/>
                <w:lang w:val="en-US" w:eastAsia="en-US" w:bidi="ar-SA"/>
              </w:rPr>
              <w:t xml:space="preserve">Treatment Technique </w:t>
            </w:r>
            <w:r>
              <w:rPr>
                <w:rFonts w:eastAsia="Times New Roman" w:cs="Arial" w:ascii="Arial" w:hAnsi="Arial"/>
                <w:bCs/>
                <w:kern w:val="0"/>
                <w:sz w:val="24"/>
                <w:szCs w:val="24"/>
                <w:vertAlign w:val="superscript"/>
                <w:lang w:val="en-US" w:eastAsia="en-US" w:bidi="ar-SA"/>
              </w:rPr>
              <w:t xml:space="preserve">(a) </w:t>
            </w:r>
            <w:r>
              <w:rPr>
                <w:rFonts w:eastAsia="Times New Roman" w:cs="Arial" w:ascii="Arial" w:hAnsi="Arial"/>
                <w:bCs/>
                <w:kern w:val="0"/>
                <w:sz w:val="24"/>
                <w:szCs w:val="24"/>
                <w:lang w:val="en-US" w:eastAsia="en-US" w:bidi="ar-SA"/>
              </w:rPr>
              <w:t>(Type of approved filtration technology used)</w:t>
            </w:r>
          </w:p>
        </w:tc>
        <w:tc>
          <w:tcPr>
            <w:tcW w:w="6725" w:type="dxa"/>
            <w:tcBorders/>
          </w:tcPr>
          <w:p>
            <w:pPr>
              <w:pStyle w:val="TextBody"/>
              <w:keepNext w:val="true"/>
              <w:widowControl w:val="false"/>
              <w:suppressAutoHyphens w:val="true"/>
              <w:spacing w:before="40" w:after="40"/>
              <w:jc w:val="left"/>
              <w:rPr>
                <w:rFonts w:ascii="Arial" w:hAnsi="Arial" w:cs="Arial"/>
                <w:color w:val="000000" w:themeColor="text1"/>
                <w:sz w:val="24"/>
                <w:szCs w:val="24"/>
              </w:rPr>
            </w:pPr>
            <w:r>
              <w:rPr>
                <w:rFonts w:eastAsia="Times New Roman" w:cs="Arial" w:ascii="Arial" w:hAnsi="Arial"/>
                <w:color w:val="000000" w:themeColor="text1"/>
                <w:kern w:val="0"/>
                <w:sz w:val="24"/>
                <w:szCs w:val="24"/>
                <w:lang w:val="en-US" w:eastAsia="en-US" w:bidi="ar-SA"/>
              </w:rPr>
              <w:t>[Enter Treatment Technique]</w:t>
            </w:r>
          </w:p>
        </w:tc>
      </w:tr>
      <w:tr>
        <w:trPr/>
        <w:tc>
          <w:tcPr>
            <w:tcW w:w="4045" w:type="dxa"/>
            <w:tcBorders/>
          </w:tcPr>
          <w:p>
            <w:pPr>
              <w:pStyle w:val="Normal"/>
              <w:widowControl w:val="false"/>
              <w:suppressAutoHyphens w:val="true"/>
              <w:spacing w:before="40" w:after="40"/>
              <w:jc w:val="left"/>
              <w:rPr>
                <w:rFonts w:ascii="Arial" w:hAnsi="Arial" w:cs="Arial"/>
                <w:bCs/>
                <w:sz w:val="24"/>
                <w:szCs w:val="24"/>
              </w:rPr>
            </w:pPr>
            <w:r>
              <w:rPr>
                <w:rFonts w:eastAsia="Times New Roman" w:cs="Arial" w:ascii="Arial" w:hAnsi="Arial"/>
                <w:bCs/>
                <w:kern w:val="0"/>
                <w:sz w:val="24"/>
                <w:szCs w:val="24"/>
                <w:lang w:val="en-US" w:eastAsia="en-US" w:bidi="ar-SA"/>
              </w:rPr>
              <w:t xml:space="preserve">Turbidity Performance Standards </w:t>
            </w:r>
            <w:r>
              <w:rPr>
                <w:rFonts w:eastAsia="Times New Roman" w:cs="Arial" w:ascii="Arial" w:hAnsi="Arial"/>
                <w:bCs/>
                <w:kern w:val="0"/>
                <w:sz w:val="24"/>
                <w:szCs w:val="24"/>
                <w:vertAlign w:val="superscript"/>
                <w:lang w:val="en-US" w:eastAsia="en-US" w:bidi="ar-SA"/>
              </w:rPr>
              <w:t xml:space="preserve">(b) </w:t>
            </w:r>
            <w:r>
              <w:rPr>
                <w:rFonts w:eastAsia="Times New Roman" w:cs="Arial" w:ascii="Arial" w:hAnsi="Arial"/>
                <w:bCs/>
                <w:kern w:val="0"/>
                <w:sz w:val="24"/>
                <w:szCs w:val="24"/>
                <w:lang w:val="en-US" w:eastAsia="en-US" w:bidi="ar-SA"/>
              </w:rPr>
              <w:t>(that must be met through the water treatment process)</w:t>
            </w:r>
          </w:p>
        </w:tc>
        <w:tc>
          <w:tcPr>
            <w:tcW w:w="6725" w:type="dxa"/>
            <w:tcBorders/>
          </w:tcPr>
          <w:p>
            <w:pPr>
              <w:pStyle w:val="TextBody"/>
              <w:widowControl w:val="false"/>
              <w:suppressAutoHyphens w:val="true"/>
              <w:spacing w:before="40" w:after="40"/>
              <w:jc w:val="left"/>
              <w:rPr>
                <w:rFonts w:ascii="Arial" w:hAnsi="Arial" w:cs="Arial"/>
                <w:bCs/>
                <w:sz w:val="24"/>
                <w:szCs w:val="24"/>
              </w:rPr>
            </w:pPr>
            <w:r>
              <w:rPr>
                <w:rFonts w:eastAsia="Times New Roman" w:cs="Arial" w:ascii="Arial" w:hAnsi="Arial"/>
                <w:bCs/>
                <w:kern w:val="0"/>
                <w:sz w:val="24"/>
                <w:szCs w:val="24"/>
                <w:lang w:val="en-US" w:eastAsia="en-US" w:bidi="ar-SA"/>
              </w:rPr>
              <w:t>Turbidity of the filtered water must:</w:t>
            </w:r>
          </w:p>
          <w:p>
            <w:pPr>
              <w:pStyle w:val="TextBody"/>
              <w:widowControl w:val="false"/>
              <w:suppressAutoHyphens w:val="true"/>
              <w:spacing w:before="40" w:after="40"/>
              <w:ind w:left="16" w:hanging="0"/>
              <w:jc w:val="left"/>
              <w:rPr>
                <w:rFonts w:ascii="Arial" w:hAnsi="Arial" w:cs="Arial"/>
                <w:bCs/>
                <w:sz w:val="24"/>
                <w:szCs w:val="24"/>
              </w:rPr>
            </w:pPr>
            <w:r>
              <w:rPr>
                <w:rFonts w:eastAsia="Times New Roman" w:cs="Arial" w:ascii="Arial" w:hAnsi="Arial"/>
                <w:bCs/>
                <w:kern w:val="0"/>
                <w:sz w:val="24"/>
                <w:szCs w:val="24"/>
                <w:lang w:val="en-US" w:eastAsia="en-US" w:bidi="ar-SA"/>
              </w:rPr>
              <w:t>1 – Be less than or equal to [Enter Turbidity Performance Standard to Be Less Than or Equal to 95% of Measurements in a Month] NTU in 95% of measurements in a month.</w:t>
            </w:r>
          </w:p>
          <w:p>
            <w:pPr>
              <w:pStyle w:val="TextBody"/>
              <w:widowControl w:val="false"/>
              <w:suppressAutoHyphens w:val="true"/>
              <w:spacing w:before="40" w:after="40"/>
              <w:ind w:left="16" w:hanging="0"/>
              <w:jc w:val="left"/>
              <w:rPr>
                <w:rFonts w:ascii="Arial" w:hAnsi="Arial" w:cs="Arial"/>
                <w:bCs/>
                <w:sz w:val="24"/>
                <w:szCs w:val="24"/>
              </w:rPr>
            </w:pPr>
            <w:r>
              <w:rPr>
                <w:rFonts w:eastAsia="Times New Roman" w:cs="Arial" w:ascii="Arial" w:hAnsi="Arial"/>
                <w:bCs/>
                <w:kern w:val="0"/>
                <w:sz w:val="24"/>
                <w:szCs w:val="24"/>
                <w:lang w:val="en-US" w:eastAsia="en-US" w:bidi="ar-SA"/>
              </w:rPr>
              <w:t>2 – Not exceed [Enter Turbidity Performance Standard Not to Be Exceeded for More Than Eight Consecutive Hours] NTU for more than eight consecutive hours.</w:t>
            </w:r>
          </w:p>
          <w:p>
            <w:pPr>
              <w:pStyle w:val="TextBody"/>
              <w:widowControl w:val="false"/>
              <w:suppressAutoHyphens w:val="true"/>
              <w:spacing w:before="40" w:after="40"/>
              <w:jc w:val="left"/>
              <w:rPr>
                <w:rFonts w:ascii="Arial" w:hAnsi="Arial" w:cs="Arial"/>
                <w:bCs/>
                <w:sz w:val="24"/>
                <w:szCs w:val="24"/>
              </w:rPr>
            </w:pPr>
            <w:r>
              <w:rPr>
                <w:rFonts w:eastAsia="Times New Roman" w:cs="Arial" w:ascii="Arial" w:hAnsi="Arial"/>
                <w:bCs/>
                <w:kern w:val="0"/>
                <w:sz w:val="24"/>
                <w:szCs w:val="24"/>
                <w:lang w:val="en-US" w:eastAsia="en-US" w:bidi="ar-SA"/>
              </w:rPr>
              <w:t>3 – Not exceed [Enter Turbidity Performance Standard Not to Be Exceeded at Any Time] NTU at any time.</w:t>
            </w:r>
          </w:p>
        </w:tc>
      </w:tr>
      <w:tr>
        <w:trPr>
          <w:trHeight w:val="490" w:hRule="atLeast"/>
        </w:trPr>
        <w:tc>
          <w:tcPr>
            <w:tcW w:w="4045" w:type="dxa"/>
            <w:tcBorders/>
          </w:tcPr>
          <w:p>
            <w:pPr>
              <w:pStyle w:val="Normal"/>
              <w:widowControl w:val="false"/>
              <w:suppressAutoHyphens w:val="true"/>
              <w:spacing w:before="40" w:after="40"/>
              <w:jc w:val="left"/>
              <w:rPr>
                <w:rFonts w:ascii="Arial" w:hAnsi="Arial" w:cs="Arial"/>
                <w:bCs/>
                <w:sz w:val="24"/>
                <w:szCs w:val="24"/>
              </w:rPr>
            </w:pPr>
            <w:r>
              <w:rPr>
                <w:rFonts w:eastAsia="Times New Roman" w:cs="Arial" w:ascii="Arial" w:hAnsi="Arial"/>
                <w:bCs/>
                <w:kern w:val="0"/>
                <w:sz w:val="24"/>
                <w:szCs w:val="24"/>
                <w:lang w:val="en-US" w:eastAsia="en-US" w:bidi="ar-SA"/>
              </w:rPr>
              <w:t>Lowest monthly percentage of samples that met Turbidity Performance Standard No. 1.</w:t>
            </w:r>
          </w:p>
        </w:tc>
        <w:tc>
          <w:tcPr>
            <w:tcW w:w="6725" w:type="dxa"/>
            <w:tcBorders/>
          </w:tcPr>
          <w:p>
            <w:pPr>
              <w:pStyle w:val="TextBody"/>
              <w:widowControl w:val="false"/>
              <w:suppressAutoHyphens w:val="true"/>
              <w:spacing w:before="40" w:after="40"/>
              <w:jc w:val="left"/>
              <w:rPr>
                <w:rFonts w:ascii="Arial" w:hAnsi="Arial" w:cs="Arial"/>
                <w:bCs/>
                <w:color w:val="FFFFFF" w:themeColor="background1"/>
                <w:sz w:val="24"/>
                <w:szCs w:val="24"/>
              </w:rPr>
            </w:pPr>
            <w:r>
              <w:rPr>
                <w:rFonts w:eastAsia="Times New Roman" w:cs="Arial" w:ascii="Arial" w:hAnsi="Arial"/>
                <w:color w:val="000000" w:themeColor="text1"/>
                <w:kern w:val="0"/>
                <w:sz w:val="24"/>
                <w:szCs w:val="24"/>
                <w:lang w:val="en-US" w:eastAsia="en-US" w:bidi="ar-SA"/>
              </w:rPr>
              <w:t>[Enter No.]</w:t>
            </w:r>
          </w:p>
        </w:tc>
      </w:tr>
      <w:tr>
        <w:trPr>
          <w:trHeight w:val="490" w:hRule="atLeast"/>
        </w:trPr>
        <w:tc>
          <w:tcPr>
            <w:tcW w:w="4045" w:type="dxa"/>
            <w:tcBorders/>
          </w:tcPr>
          <w:p>
            <w:pPr>
              <w:pStyle w:val="Normal"/>
              <w:widowControl w:val="false"/>
              <w:suppressAutoHyphens w:val="true"/>
              <w:spacing w:before="40" w:after="40"/>
              <w:jc w:val="left"/>
              <w:rPr>
                <w:rFonts w:ascii="Arial" w:hAnsi="Arial" w:cs="Arial"/>
                <w:bCs/>
                <w:sz w:val="24"/>
                <w:szCs w:val="24"/>
              </w:rPr>
            </w:pPr>
            <w:r>
              <w:rPr>
                <w:rFonts w:eastAsia="Times New Roman" w:cs="Arial" w:ascii="Arial" w:hAnsi="Arial"/>
                <w:bCs/>
                <w:kern w:val="0"/>
                <w:sz w:val="24"/>
                <w:szCs w:val="24"/>
                <w:lang w:val="en-US" w:eastAsia="en-US" w:bidi="ar-SA"/>
              </w:rPr>
              <w:t>Highest single turbidity measurement during the year</w:t>
            </w:r>
          </w:p>
        </w:tc>
        <w:tc>
          <w:tcPr>
            <w:tcW w:w="6725" w:type="dxa"/>
            <w:tcBorders/>
          </w:tcPr>
          <w:p>
            <w:pPr>
              <w:pStyle w:val="TextBody"/>
              <w:widowControl w:val="false"/>
              <w:suppressAutoHyphens w:val="true"/>
              <w:spacing w:before="40" w:after="40"/>
              <w:jc w:val="left"/>
              <w:rPr>
                <w:rFonts w:ascii="Arial" w:hAnsi="Arial" w:cs="Arial"/>
                <w:bCs/>
                <w:color w:val="FFFFFF" w:themeColor="background1"/>
                <w:sz w:val="24"/>
                <w:szCs w:val="24"/>
              </w:rPr>
            </w:pPr>
            <w:r>
              <w:rPr>
                <w:rFonts w:eastAsia="Times New Roman" w:cs="Arial" w:ascii="Arial" w:hAnsi="Arial"/>
                <w:color w:val="000000" w:themeColor="text1"/>
                <w:kern w:val="0"/>
                <w:sz w:val="24"/>
                <w:szCs w:val="24"/>
                <w:lang w:val="en-US" w:eastAsia="en-US" w:bidi="ar-SA"/>
              </w:rPr>
              <w:t>[Enter No.]</w:t>
            </w:r>
          </w:p>
        </w:tc>
      </w:tr>
      <w:tr>
        <w:trPr>
          <w:trHeight w:val="490" w:hRule="atLeast"/>
        </w:trPr>
        <w:tc>
          <w:tcPr>
            <w:tcW w:w="4045" w:type="dxa"/>
            <w:tcBorders/>
          </w:tcPr>
          <w:p>
            <w:pPr>
              <w:pStyle w:val="Normal"/>
              <w:widowControl w:val="false"/>
              <w:suppressAutoHyphens w:val="true"/>
              <w:spacing w:before="40" w:after="40"/>
              <w:jc w:val="left"/>
              <w:rPr>
                <w:rFonts w:ascii="Arial" w:hAnsi="Arial" w:cs="Arial"/>
                <w:bCs/>
                <w:sz w:val="24"/>
                <w:szCs w:val="24"/>
              </w:rPr>
            </w:pPr>
            <w:r>
              <w:rPr>
                <w:rFonts w:eastAsia="Times New Roman" w:cs="Arial" w:ascii="Arial" w:hAnsi="Arial"/>
                <w:bCs/>
                <w:kern w:val="0"/>
                <w:sz w:val="24"/>
                <w:szCs w:val="24"/>
                <w:lang w:val="en-US" w:eastAsia="en-US" w:bidi="ar-SA"/>
              </w:rPr>
              <w:t>Number of violations of any surface water treatment requirements</w:t>
            </w:r>
          </w:p>
        </w:tc>
        <w:tc>
          <w:tcPr>
            <w:tcW w:w="6725" w:type="dxa"/>
            <w:tcBorders/>
          </w:tcPr>
          <w:p>
            <w:pPr>
              <w:pStyle w:val="TextBody"/>
              <w:widowControl w:val="false"/>
              <w:suppressAutoHyphens w:val="true"/>
              <w:spacing w:before="40" w:after="40"/>
              <w:jc w:val="left"/>
              <w:rPr>
                <w:rFonts w:ascii="Arial" w:hAnsi="Arial" w:cs="Arial"/>
                <w:bCs/>
                <w:color w:val="FFFFFF" w:themeColor="background1"/>
                <w:sz w:val="24"/>
                <w:szCs w:val="24"/>
              </w:rPr>
            </w:pPr>
            <w:r>
              <w:rPr>
                <w:rFonts w:eastAsia="Times New Roman" w:cs="Arial" w:ascii="Arial" w:hAnsi="Arial"/>
                <w:color w:val="000000" w:themeColor="text1"/>
                <w:kern w:val="0"/>
                <w:sz w:val="24"/>
                <w:szCs w:val="24"/>
                <w:lang w:val="en-US" w:eastAsia="en-US" w:bidi="ar-SA"/>
              </w:rPr>
              <w:t>[Enter No.]</w:t>
            </w:r>
          </w:p>
        </w:tc>
      </w:tr>
    </w:tbl>
    <w:p>
      <w:pPr>
        <w:pStyle w:val="BlockText"/>
        <w:tabs>
          <w:tab w:val="clear" w:pos="720"/>
          <w:tab w:val="left" w:pos="360" w:leader="none"/>
        </w:tabs>
        <w:spacing w:before="60" w:after="0"/>
        <w:ind w:left="360" w:right="0" w:hanging="360"/>
        <w:rPr>
          <w:rFonts w:ascii="Arial" w:hAnsi="Arial" w:cs="Arial"/>
          <w:b w:val="false"/>
          <w:b w:val="false"/>
          <w:bCs/>
          <w:sz w:val="24"/>
          <w:szCs w:val="24"/>
        </w:rPr>
      </w:pPr>
      <w:r>
        <w:rPr>
          <w:rFonts w:cs="Arial" w:ascii="Arial" w:hAnsi="Arial"/>
          <w:b w:val="false"/>
          <w:bCs/>
          <w:sz w:val="24"/>
          <w:szCs w:val="24"/>
        </w:rPr>
        <w:t>(a)</w:t>
        <w:tab/>
        <w:t>A required process intended to reduce the level of a contaminant in drinking water.</w:t>
      </w:r>
    </w:p>
    <w:p>
      <w:pPr>
        <w:pStyle w:val="BlockText"/>
        <w:spacing w:before="60" w:after="0"/>
        <w:ind w:left="0" w:right="0" w:hanging="0"/>
        <w:rPr>
          <w:rFonts w:ascii="Arial" w:hAnsi="Arial" w:cs="Arial"/>
          <w:b w:val="false"/>
          <w:b w:val="false"/>
          <w:bCs/>
          <w:i/>
          <w:i/>
          <w:sz w:val="24"/>
          <w:szCs w:val="24"/>
        </w:rPr>
      </w:pPr>
      <w:r>
        <w:rPr>
          <w:rFonts w:cs="Arial" w:ascii="Arial" w:hAnsi="Arial"/>
          <w:b w:val="false"/>
          <w:bCs/>
          <w:sz w:val="24"/>
          <w:szCs w:val="24"/>
        </w:rPr>
        <w:t>(b) Turbidity (measured in NTU) is a measurement of the cloudiness of water and is a good indicator of water quality and filtration performance.  Turbidity results which meet performance standards are considered to be in compliance with filtration requirements.</w:t>
      </w:r>
    </w:p>
    <w:p>
      <w:pPr>
        <w:pStyle w:val="Heading3"/>
        <w:keepNext w:val="true"/>
        <w:rPr/>
      </w:pPr>
      <w:bookmarkStart w:id="13" w:name="_Toc58336724"/>
      <w:r>
        <w:rPr/>
        <w:t xml:space="preserve">Summary Information for Violation of a Surface Water </w:t>
      </w:r>
      <w:bookmarkEnd w:id="13"/>
      <w:r>
        <w:rPr/>
        <w:t>TT</w:t>
      </w:r>
    </w:p>
    <w:p>
      <w:pPr>
        <w:pStyle w:val="Caption1"/>
        <w:spacing w:beforeAutospacing="1" w:after="120"/>
        <w:rPr/>
      </w:pPr>
      <w:r>
        <w:rPr/>
        <w:t>Table 11. Violation of Surface Water TT</w:t>
      </w:r>
    </w:p>
    <w:tbl>
      <w:tblPr>
        <w:tblStyle w:val="TableGrid"/>
        <w:tblW w:w="10642" w:type="dxa"/>
        <w:jc w:val="left"/>
        <w:tblInd w:w="0" w:type="dxa"/>
        <w:tblLayout w:type="fixed"/>
        <w:tblCellMar>
          <w:top w:w="0" w:type="dxa"/>
          <w:left w:w="108" w:type="dxa"/>
          <w:bottom w:w="0" w:type="dxa"/>
          <w:right w:w="108" w:type="dxa"/>
        </w:tblCellMar>
        <w:tblLook w:firstRow="1" w:noVBand="0" w:lastRow="0" w:firstColumn="0" w:lastColumn="0" w:noHBand="0" w:val="0020"/>
      </w:tblPr>
      <w:tblGrid>
        <w:gridCol w:w="1975"/>
        <w:gridCol w:w="2246"/>
        <w:gridCol w:w="1890"/>
        <w:gridCol w:w="2164"/>
        <w:gridCol w:w="2367"/>
      </w:tblGrid>
      <w:tr>
        <w:trPr>
          <w:trHeight w:val="457" w:hRule="atLeast"/>
        </w:trPr>
        <w:tc>
          <w:tcPr>
            <w:tcW w:w="1975"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Violation</w:t>
            </w:r>
          </w:p>
        </w:tc>
        <w:tc>
          <w:tcPr>
            <w:tcW w:w="2246"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Explanation</w:t>
            </w:r>
          </w:p>
        </w:tc>
        <w:tc>
          <w:tcPr>
            <w:tcW w:w="1890"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Duration</w:t>
            </w:r>
          </w:p>
        </w:tc>
        <w:tc>
          <w:tcPr>
            <w:tcW w:w="2164"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Actions Taken to Correct Violation</w:t>
            </w:r>
          </w:p>
        </w:tc>
        <w:tc>
          <w:tcPr>
            <w:tcW w:w="2367" w:type="dxa"/>
            <w:tcBorders/>
            <w:vAlign w:val="center"/>
          </w:tcPr>
          <w:p>
            <w:pPr>
              <w:pStyle w:val="Normal"/>
              <w:keepNext w:val="true"/>
              <w:widowControl w:val="false"/>
              <w:suppressAutoHyphens w:val="true"/>
              <w:spacing w:before="40" w:after="40"/>
              <w:jc w:val="center"/>
              <w:rPr>
                <w:rFonts w:ascii="Arial" w:hAnsi="Arial" w:cs="Arial"/>
                <w:b/>
                <w:b/>
                <w:sz w:val="24"/>
                <w:szCs w:val="24"/>
              </w:rPr>
            </w:pPr>
            <w:r>
              <w:rPr>
                <w:rFonts w:eastAsia="Times New Roman" w:cs="Arial" w:ascii="Arial" w:hAnsi="Arial"/>
                <w:b/>
                <w:kern w:val="0"/>
                <w:sz w:val="24"/>
                <w:szCs w:val="24"/>
                <w:lang w:val="en-US" w:eastAsia="en-US" w:bidi="ar-SA"/>
              </w:rPr>
              <w:t>Health Effects Language</w:t>
            </w:r>
          </w:p>
        </w:tc>
      </w:tr>
      <w:tr>
        <w:trPr>
          <w:trHeight w:val="449" w:hRule="atLeast"/>
        </w:trPr>
        <w:tc>
          <w:tcPr>
            <w:tcW w:w="1975" w:type="dxa"/>
            <w:tcBorders/>
            <w:tcMar>
              <w:left w:w="58" w:type="dxa"/>
              <w:right w:w="58" w:type="dxa"/>
            </w:tcMar>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 xml:space="preserve">[Enter </w:t>
            </w:r>
            <w:r>
              <w:rPr>
                <w:rFonts w:eastAsia="Times New Roman" w:cs="Arial" w:ascii="Arial" w:hAnsi="Arial"/>
                <w:kern w:val="0"/>
                <w:sz w:val="24"/>
                <w:szCs w:val="24"/>
                <w:lang w:val="en-US" w:eastAsia="en-US" w:bidi="ar-SA"/>
              </w:rPr>
              <w:t>Violation]</w:t>
            </w:r>
          </w:p>
        </w:tc>
        <w:tc>
          <w:tcPr>
            <w:tcW w:w="2246" w:type="dxa"/>
            <w:tcBorders/>
            <w:tcMar>
              <w:left w:w="58" w:type="dxa"/>
              <w:right w:w="58" w:type="dxa"/>
            </w:tcMar>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kern w:val="0"/>
                <w:sz w:val="24"/>
                <w:szCs w:val="24"/>
                <w:lang w:val="en-US" w:eastAsia="en-US" w:bidi="ar-SA"/>
              </w:rPr>
              <w:t>[Enter Explanation]</w:t>
            </w:r>
          </w:p>
        </w:tc>
        <w:tc>
          <w:tcPr>
            <w:tcW w:w="1890" w:type="dxa"/>
            <w:tcBorders/>
            <w:tcMar>
              <w:left w:w="58" w:type="dxa"/>
              <w:right w:w="58" w:type="dxa"/>
            </w:tcMar>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Duration]</w:t>
            </w:r>
          </w:p>
        </w:tc>
        <w:tc>
          <w:tcPr>
            <w:tcW w:w="2164" w:type="dxa"/>
            <w:tcBorders/>
            <w:tcMar>
              <w:left w:w="58" w:type="dxa"/>
              <w:right w:w="58" w:type="dxa"/>
            </w:tcMar>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kern w:val="0"/>
                <w:sz w:val="24"/>
                <w:szCs w:val="24"/>
                <w:lang w:val="en-US" w:eastAsia="en-US" w:bidi="ar-SA"/>
              </w:rPr>
              <w:t>[Enter Actions]</w:t>
            </w:r>
          </w:p>
        </w:tc>
        <w:tc>
          <w:tcPr>
            <w:tcW w:w="2367" w:type="dxa"/>
            <w:tcBorders/>
            <w:tcMar>
              <w:left w:w="58" w:type="dxa"/>
              <w:right w:w="58" w:type="dxa"/>
            </w:tcMar>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Language]</w:t>
            </w:r>
          </w:p>
        </w:tc>
      </w:tr>
      <w:tr>
        <w:trPr>
          <w:trHeight w:val="449" w:hRule="atLeast"/>
        </w:trPr>
        <w:tc>
          <w:tcPr>
            <w:tcW w:w="1975" w:type="dxa"/>
            <w:tcBorders/>
            <w:tcMar>
              <w:left w:w="58" w:type="dxa"/>
              <w:right w:w="58" w:type="dxa"/>
            </w:tcMar>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 xml:space="preserve">[Enter </w:t>
            </w:r>
            <w:r>
              <w:rPr>
                <w:rFonts w:eastAsia="Times New Roman" w:cs="Arial" w:ascii="Arial" w:hAnsi="Arial"/>
                <w:kern w:val="0"/>
                <w:sz w:val="24"/>
                <w:szCs w:val="24"/>
                <w:lang w:val="en-US" w:eastAsia="en-US" w:bidi="ar-SA"/>
              </w:rPr>
              <w:t>Violation]</w:t>
            </w:r>
          </w:p>
        </w:tc>
        <w:tc>
          <w:tcPr>
            <w:tcW w:w="2246" w:type="dxa"/>
            <w:tcBorders/>
            <w:tcMar>
              <w:left w:w="58" w:type="dxa"/>
              <w:right w:w="58" w:type="dxa"/>
            </w:tcMar>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kern w:val="0"/>
                <w:sz w:val="24"/>
                <w:szCs w:val="24"/>
                <w:lang w:val="en-US" w:eastAsia="en-US" w:bidi="ar-SA"/>
              </w:rPr>
              <w:t>[Enter Explanation]</w:t>
            </w:r>
          </w:p>
        </w:tc>
        <w:tc>
          <w:tcPr>
            <w:tcW w:w="1890" w:type="dxa"/>
            <w:tcBorders/>
            <w:tcMar>
              <w:left w:w="58" w:type="dxa"/>
              <w:right w:w="58" w:type="dxa"/>
            </w:tcMar>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Duration]</w:t>
            </w:r>
          </w:p>
        </w:tc>
        <w:tc>
          <w:tcPr>
            <w:tcW w:w="2164" w:type="dxa"/>
            <w:tcBorders/>
            <w:tcMar>
              <w:left w:w="58" w:type="dxa"/>
              <w:right w:w="58" w:type="dxa"/>
            </w:tcMar>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kern w:val="0"/>
                <w:sz w:val="24"/>
                <w:szCs w:val="24"/>
                <w:lang w:val="en-US" w:eastAsia="en-US" w:bidi="ar-SA"/>
              </w:rPr>
              <w:t>[Enter Actions]</w:t>
            </w:r>
          </w:p>
        </w:tc>
        <w:tc>
          <w:tcPr>
            <w:tcW w:w="2367" w:type="dxa"/>
            <w:tcBorders/>
            <w:tcMar>
              <w:left w:w="58" w:type="dxa"/>
              <w:right w:w="58" w:type="dxa"/>
            </w:tcMar>
          </w:tcPr>
          <w:p>
            <w:pPr>
              <w:pStyle w:val="Normal"/>
              <w:widowControl w:val="false"/>
              <w:suppressAutoHyphens w:val="true"/>
              <w:spacing w:before="40" w:after="40"/>
              <w:jc w:val="left"/>
              <w:rPr>
                <w:rFonts w:ascii="Arial" w:hAnsi="Arial" w:cs="Arial"/>
                <w:color w:val="FFFFFF" w:themeColor="background1"/>
                <w:sz w:val="24"/>
                <w:szCs w:val="24"/>
              </w:rPr>
            </w:pPr>
            <w:r>
              <w:rPr>
                <w:rFonts w:eastAsia="Times New Roman" w:cs="Arial" w:ascii="Arial" w:hAnsi="Arial"/>
                <w:color w:val="000000" w:themeColor="text1"/>
                <w:kern w:val="0"/>
                <w:sz w:val="24"/>
                <w:szCs w:val="24"/>
                <w:lang w:val="en-US" w:eastAsia="en-US" w:bidi="ar-SA"/>
              </w:rPr>
              <w:t>[Enter Language]</w:t>
            </w:r>
          </w:p>
        </w:tc>
      </w:tr>
    </w:tbl>
    <w:p>
      <w:pPr>
        <w:pStyle w:val="Heading3"/>
        <w:keepNext w:val="true"/>
        <w:rPr/>
      </w:pPr>
      <w:bookmarkStart w:id="14" w:name="_Toc58336725"/>
      <w:r>
        <w:rPr/>
        <w:t>Summary Information for Operating Under a Variance or Exemption</w:t>
      </w:r>
      <w:bookmarkStart w:id="15" w:name="_Hlk58234306"/>
      <w:bookmarkEnd w:id="14"/>
      <w:bookmarkEnd w:id="15"/>
    </w:p>
    <w:p>
      <w:pPr>
        <w:pStyle w:val="Normal"/>
        <w:spacing w:before="120" w:after="240"/>
        <w:rPr>
          <w:rFonts w:ascii="Arial" w:hAnsi="Arial" w:cs="Arial"/>
          <w:sz w:val="24"/>
          <w:szCs w:val="24"/>
        </w:rPr>
      </w:pPr>
      <w:r>
        <w:rPr>
          <w:rFonts w:cs="Arial" w:ascii="Arial" w:hAnsi="Arial"/>
          <w:sz w:val="24"/>
          <w:szCs w:val="24"/>
        </w:rPr>
        <w:t>[Enter</w:t>
      </w:r>
      <w:r>
        <w:rPr>
          <w:rFonts w:cs="Arial" w:ascii="Arial" w:hAnsi="Arial"/>
          <w:sz w:val="24"/>
        </w:rPr>
        <w:t xml:space="preserve"> Additional Information Described in Instructions for SWS CCR Document]</w:t>
      </w:r>
    </w:p>
    <w:p>
      <w:pPr>
        <w:pStyle w:val="Heading3"/>
        <w:keepNext w:val="true"/>
        <w:rPr/>
      </w:pPr>
      <w:bookmarkStart w:id="16" w:name="_Toc58336726"/>
      <w:r>
        <w:rPr>
          <w:highlight w:val="yellow"/>
        </w:rPr>
        <w:t>Summary Information for Revised Total Coliform Rule Level 1 and Level 2 Assessment Requirements</w:t>
      </w:r>
      <w:bookmarkEnd w:id="16"/>
    </w:p>
    <w:p>
      <w:pPr>
        <w:pStyle w:val="Normal"/>
        <w:rPr>
          <w:rFonts w:ascii="Arial" w:hAnsi="Arial" w:cs="Arial"/>
          <w:sz w:val="24"/>
          <w:szCs w:val="24"/>
        </w:rPr>
      </w:pPr>
      <w:r>
        <w:rPr>
          <w:rFonts w:cs="Arial" w:ascii="Arial" w:hAnsi="Arial"/>
          <w:sz w:val="24"/>
          <w:szCs w:val="24"/>
          <w:highlight w:val="yellow"/>
        </w:rPr>
        <w:t xml:space="preserve">If a water system is required to comply with a Level 1 or Level 2 assessment requirement that is not due to an </w:t>
      </w:r>
      <w:r>
        <w:rPr>
          <w:rFonts w:cs="Arial" w:ascii="Arial" w:hAnsi="Arial"/>
          <w:i/>
          <w:iCs/>
          <w:sz w:val="24"/>
          <w:szCs w:val="24"/>
          <w:highlight w:val="yellow"/>
        </w:rPr>
        <w:t>E. coli</w:t>
      </w:r>
      <w:r>
        <w:rPr>
          <w:rFonts w:cs="Arial" w:ascii="Arial" w:hAnsi="Arial"/>
          <w:sz w:val="24"/>
          <w:szCs w:val="24"/>
          <w:highlight w:val="yellow"/>
        </w:rPr>
        <w:t xml:space="preserve"> MCL violation, include the following information below [22 CCR section 64481(n)(1)].</w:t>
      </w:r>
    </w:p>
    <w:p>
      <w:pPr>
        <w:pStyle w:val="Normal"/>
        <w:rPr>
          <w:rFonts w:ascii="Arial" w:hAnsi="Arial" w:cs="Arial"/>
          <w:sz w:val="24"/>
          <w:szCs w:val="24"/>
        </w:rPr>
      </w:pPr>
      <w:r>
        <w:rPr>
          <w:rFonts w:cs="Arial" w:ascii="Arial" w:hAnsi="Arial"/>
          <w:sz w:val="24"/>
          <w:szCs w:val="24"/>
        </w:rPr>
      </w:r>
    </w:p>
    <w:p>
      <w:pPr>
        <w:pStyle w:val="Heading4"/>
        <w:rPr/>
      </w:pPr>
      <w:r>
        <w:rPr/>
        <w:t xml:space="preserve">Level 1 or Level 2 Assessment Requirement not Due to an </w:t>
      </w:r>
      <w:r>
        <w:rPr>
          <w:i/>
        </w:rPr>
        <w:t>E. coli</w:t>
      </w:r>
      <w:r>
        <w:rPr/>
        <w:t xml:space="preserve"> MCL Violation</w:t>
      </w:r>
    </w:p>
    <w:p>
      <w:pPr>
        <w:pStyle w:val="Normal"/>
        <w:pBdr>
          <w:top w:val="single" w:sz="4" w:space="1" w:color="000000"/>
          <w:left w:val="single" w:sz="4" w:space="4" w:color="000000"/>
          <w:bottom w:val="single" w:sz="4" w:space="1" w:color="000000"/>
          <w:right w:val="single" w:sz="4" w:space="4" w:color="000000"/>
        </w:pBdr>
        <w:spacing w:beforeAutospacing="1" w:after="240"/>
        <w:rPr>
          <w:rFonts w:ascii="Arial" w:hAnsi="Arial" w:cs="Arial"/>
          <w:sz w:val="24"/>
          <w:szCs w:val="24"/>
        </w:rPr>
      </w:pPr>
      <w:r>
        <w:rPr>
          <w:rFonts w:cs="Arial" w:ascii="Arial" w:hAnsi="Arial"/>
          <w:sz w:val="24"/>
          <w:szCs w:val="24"/>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pPr>
        <w:pStyle w:val="Normal"/>
        <w:spacing w:before="0" w:after="240"/>
        <w:rPr>
          <w:rFonts w:ascii="Arial" w:hAnsi="Arial" w:cs="Arial"/>
          <w:sz w:val="24"/>
          <w:szCs w:val="24"/>
        </w:rPr>
      </w:pPr>
      <w:r>
        <w:rPr>
          <w:rFonts w:cs="Arial" w:ascii="Arial" w:hAnsi="Arial"/>
          <w:sz w:val="24"/>
          <w:szCs w:val="24"/>
          <w:highlight w:val="yellow"/>
        </w:rPr>
        <w:t>The water system shall include the following statements, as appropriate:</w:t>
      </w:r>
    </w:p>
    <w:p>
      <w:pPr>
        <w:pStyle w:val="Normal"/>
        <w:pBdr>
          <w:top w:val="single" w:sz="4" w:space="1" w:color="000000"/>
          <w:left w:val="single" w:sz="4" w:space="4" w:color="000000"/>
          <w:bottom w:val="single" w:sz="4" w:space="1" w:color="000000"/>
          <w:right w:val="single" w:sz="4" w:space="4" w:color="000000"/>
        </w:pBdr>
        <w:spacing w:before="0" w:after="240"/>
        <w:rPr>
          <w:rFonts w:ascii="Arial" w:hAnsi="Arial" w:cs="Arial"/>
          <w:sz w:val="24"/>
          <w:szCs w:val="24"/>
        </w:rPr>
      </w:pPr>
      <w:r>
        <w:rPr>
          <w:rFonts w:cs="Arial" w:ascii="Arial" w:hAnsi="Arial"/>
          <w:sz w:val="24"/>
          <w:szCs w:val="24"/>
        </w:rPr>
        <w:t>During the past year we were required to conduct [Insert Number of Level 1 Assessments] Level 1 assessment(s).  [</w:t>
      </w:r>
      <w:bookmarkStart w:id="17" w:name="_Hlk534984154"/>
      <w:r>
        <w:rPr>
          <w:rFonts w:cs="Arial" w:ascii="Arial" w:hAnsi="Arial"/>
          <w:sz w:val="24"/>
          <w:szCs w:val="24"/>
        </w:rPr>
        <w:t>Insert Number of Level 1 Assessment</w:t>
      </w:r>
      <w:bookmarkEnd w:id="17"/>
      <w:r>
        <w:rPr>
          <w:rFonts w:cs="Arial" w:ascii="Arial" w:hAnsi="Arial"/>
          <w:sz w:val="24"/>
          <w:szCs w:val="24"/>
        </w:rPr>
        <w:t>s] Level 1 assessment(s) were completed.  In addition, we were required to take [</w:t>
      </w:r>
      <w:bookmarkStart w:id="18" w:name="_Hlk534984203"/>
      <w:r>
        <w:rPr>
          <w:rFonts w:cs="Arial" w:ascii="Arial" w:hAnsi="Arial"/>
          <w:sz w:val="24"/>
          <w:szCs w:val="24"/>
        </w:rPr>
        <w:t>Insert Number of Corrective Actions</w:t>
      </w:r>
      <w:bookmarkEnd w:id="18"/>
      <w:r>
        <w:rPr>
          <w:rFonts w:cs="Arial" w:ascii="Arial" w:hAnsi="Arial"/>
          <w:sz w:val="24"/>
          <w:szCs w:val="24"/>
        </w:rPr>
        <w:t>] corrective actions and we completed [Insert Number of Corrective Actions] of these actions.</w:t>
      </w:r>
    </w:p>
    <w:p>
      <w:pPr>
        <w:pStyle w:val="Normal"/>
        <w:pBdr>
          <w:top w:val="single" w:sz="4" w:space="1" w:color="000000"/>
          <w:left w:val="single" w:sz="4" w:space="4" w:color="000000"/>
          <w:bottom w:val="single" w:sz="4" w:space="1" w:color="000000"/>
          <w:right w:val="single" w:sz="4" w:space="4" w:color="000000"/>
        </w:pBdr>
        <w:spacing w:before="0" w:after="240"/>
        <w:rPr>
          <w:rFonts w:ascii="Arial" w:hAnsi="Arial" w:cs="Arial"/>
          <w:sz w:val="24"/>
          <w:szCs w:val="24"/>
        </w:rPr>
      </w:pPr>
      <w:r>
        <w:rPr>
          <w:rFonts w:cs="Arial" w:ascii="Arial" w:hAnsi="Arial"/>
          <w:sz w:val="24"/>
          <w:szCs w:val="24"/>
        </w:rPr>
        <w:t>During the past year [</w:t>
      </w:r>
      <w:bookmarkStart w:id="19" w:name="_Hlk535238544"/>
      <w:r>
        <w:rPr>
          <w:rFonts w:cs="Arial" w:ascii="Arial" w:hAnsi="Arial"/>
          <w:sz w:val="24"/>
          <w:szCs w:val="24"/>
        </w:rPr>
        <w:t>Insert Number of Level 2 Assessment</w:t>
      </w:r>
      <w:bookmarkEnd w:id="19"/>
      <w:r>
        <w:rPr>
          <w:rFonts w:cs="Arial" w:ascii="Arial" w:hAnsi="Arial"/>
          <w:sz w:val="24"/>
          <w:szCs w:val="24"/>
        </w:rPr>
        <w:t>] Level 2 assessments were required to be completed for our water system.  [Insert Number of Level 2 Assessments] Level 2 assessments were completed.  In addition, we were required to take [</w:t>
      </w:r>
      <w:bookmarkStart w:id="20" w:name="_Hlk535238579"/>
      <w:r>
        <w:rPr>
          <w:rFonts w:cs="Arial" w:ascii="Arial" w:hAnsi="Arial"/>
          <w:sz w:val="24"/>
          <w:szCs w:val="24"/>
        </w:rPr>
        <w:t>Insert Number of Corrective Actions</w:t>
      </w:r>
      <w:bookmarkEnd w:id="20"/>
      <w:r>
        <w:rPr>
          <w:rFonts w:cs="Arial" w:ascii="Arial" w:hAnsi="Arial"/>
          <w:sz w:val="24"/>
          <w:szCs w:val="24"/>
        </w:rPr>
        <w:t>] corrective actions and we completed [Insert Number of Corrective Actions] of these actions.</w:t>
      </w:r>
    </w:p>
    <w:p>
      <w:pPr>
        <w:pStyle w:val="Normal"/>
        <w:spacing w:before="0" w:after="240"/>
        <w:rPr>
          <w:rFonts w:ascii="Arial" w:hAnsi="Arial" w:cs="Arial"/>
          <w:sz w:val="24"/>
          <w:szCs w:val="24"/>
          <w:highlight w:val="yellow"/>
        </w:rPr>
      </w:pPr>
      <w:r>
        <w:rPr>
          <w:rFonts w:cs="Arial" w:ascii="Arial" w:hAnsi="Arial"/>
          <w:sz w:val="24"/>
          <w:szCs w:val="24"/>
          <w:highlight w:val="yellow"/>
        </w:rPr>
        <w:t>If the water system failed to complete all the required assessments or correct all identified sanitary defects, the water system is in violation of the treatment technique requirement and shall include the following statements, as appropriate:</w:t>
      </w:r>
    </w:p>
    <w:p>
      <w:pPr>
        <w:pStyle w:val="Normal"/>
        <w:pBdr>
          <w:top w:val="single" w:sz="4" w:space="1" w:color="000000"/>
          <w:left w:val="single" w:sz="4" w:space="4" w:color="000000"/>
          <w:bottom w:val="single" w:sz="4" w:space="1" w:color="000000"/>
          <w:right w:val="single" w:sz="4" w:space="4" w:color="000000"/>
        </w:pBdr>
        <w:rPr>
          <w:rFonts w:ascii="Arial" w:hAnsi="Arial" w:cs="Arial"/>
          <w:sz w:val="24"/>
          <w:szCs w:val="24"/>
          <w:highlight w:val="yellow"/>
        </w:rPr>
      </w:pPr>
      <w:r>
        <w:rPr>
          <w:rFonts w:cs="Arial" w:ascii="Arial" w:hAnsi="Arial"/>
          <w:sz w:val="24"/>
          <w:szCs w:val="24"/>
          <w:highlight w:val="yellow"/>
        </w:rPr>
        <w:t>During the past year we failed to conduct all of the required assessment(s).</w:t>
      </w:r>
    </w:p>
    <w:p>
      <w:pPr>
        <w:pStyle w:val="Normal"/>
        <w:pBdr>
          <w:top w:val="single" w:sz="4" w:space="1" w:color="000000"/>
          <w:left w:val="single" w:sz="4" w:space="4" w:color="000000"/>
          <w:bottom w:val="single" w:sz="4" w:space="1" w:color="000000"/>
          <w:right w:val="single" w:sz="4" w:space="4" w:color="000000"/>
        </w:pBdr>
        <w:rPr>
          <w:rFonts w:ascii="Arial" w:hAnsi="Arial" w:cs="Arial"/>
          <w:sz w:val="24"/>
          <w:szCs w:val="24"/>
          <w:highlight w:val="yellow"/>
        </w:rPr>
      </w:pPr>
      <w:r>
        <w:rPr>
          <w:rFonts w:cs="Arial" w:ascii="Arial" w:hAnsi="Arial"/>
          <w:sz w:val="24"/>
          <w:szCs w:val="24"/>
          <w:highlight w:val="yellow"/>
        </w:rPr>
      </w:r>
    </w:p>
    <w:p>
      <w:pPr>
        <w:pStyle w:val="Normal"/>
        <w:pBdr>
          <w:top w:val="single" w:sz="4" w:space="1" w:color="000000"/>
          <w:left w:val="single" w:sz="4" w:space="4" w:color="000000"/>
          <w:bottom w:val="single" w:sz="4" w:space="1" w:color="000000"/>
          <w:right w:val="single" w:sz="4" w:space="4" w:color="000000"/>
        </w:pBdr>
        <w:rPr>
          <w:rFonts w:ascii="Arial" w:hAnsi="Arial" w:cs="Arial"/>
          <w:sz w:val="24"/>
          <w:szCs w:val="24"/>
        </w:rPr>
      </w:pPr>
      <w:r>
        <w:rPr>
          <w:rFonts w:cs="Arial" w:ascii="Arial" w:hAnsi="Arial"/>
          <w:sz w:val="24"/>
          <w:szCs w:val="24"/>
          <w:highlight w:val="yellow"/>
        </w:rPr>
        <w:t>During the past we failed to correct all identified defects that were found during the assessment.</w:t>
      </w:r>
    </w:p>
    <w:p>
      <w:pPr>
        <w:pStyle w:val="ListParagraph"/>
        <w:numPr>
          <w:ilvl w:val="0"/>
          <w:numId w:val="0"/>
        </w:numPr>
        <w:ind w:left="720" w:hanging="0"/>
        <w:rPr/>
      </w:pPr>
      <w:r>
        <w:rPr/>
      </w:r>
    </w:p>
    <w:p>
      <w:pPr>
        <w:pStyle w:val="Normal"/>
        <w:spacing w:before="0" w:after="240"/>
        <w:rPr>
          <w:rFonts w:ascii="Arial" w:hAnsi="Arial" w:cs="Arial"/>
          <w:sz w:val="24"/>
          <w:szCs w:val="24"/>
        </w:rPr>
      </w:pPr>
      <w:r>
        <w:rPr>
          <w:rFonts w:cs="Arial" w:ascii="Arial" w:hAnsi="Arial"/>
          <w:sz w:val="24"/>
          <w:szCs w:val="24"/>
        </w:rPr>
        <w:t>[For Violation of the Total Coliform Bacteria TT Requirement, Enter</w:t>
      </w:r>
      <w:r>
        <w:rPr>
          <w:rFonts w:cs="Arial" w:ascii="Arial" w:hAnsi="Arial"/>
          <w:sz w:val="24"/>
        </w:rPr>
        <w:t xml:space="preserve"> Additional Information Described in Instructions for SWS CCR Document</w:t>
      </w:r>
      <w:r>
        <w:rPr>
          <w:rFonts w:cs="Arial" w:ascii="Arial" w:hAnsi="Arial"/>
          <w:sz w:val="24"/>
          <w:szCs w:val="24"/>
        </w:rPr>
        <w:t>]</w:t>
      </w:r>
    </w:p>
    <w:p>
      <w:pPr>
        <w:pStyle w:val="Normal"/>
        <w:spacing w:before="0" w:after="240"/>
        <w:rPr/>
      </w:pPr>
      <w:r>
        <w:rPr>
          <w:rFonts w:cs="Arial" w:ascii="Arial" w:hAnsi="Arial"/>
          <w:sz w:val="24"/>
          <w:szCs w:val="24"/>
          <w:highlight w:val="yellow"/>
        </w:rPr>
        <w:t xml:space="preserve">If a water system is required to comply with a Level 2 assessment requirement that is due to an </w:t>
      </w:r>
      <w:r>
        <w:rPr>
          <w:rFonts w:cs="Arial" w:ascii="Arial" w:hAnsi="Arial"/>
          <w:i/>
          <w:iCs/>
          <w:sz w:val="24"/>
          <w:szCs w:val="24"/>
          <w:highlight w:val="yellow"/>
        </w:rPr>
        <w:t>E. coli</w:t>
      </w:r>
      <w:r>
        <w:rPr>
          <w:highlight w:val="yellow"/>
        </w:rPr>
        <w:t xml:space="preserve"> </w:t>
      </w:r>
      <w:r>
        <w:rPr>
          <w:rFonts w:cs="Arial" w:ascii="Arial" w:hAnsi="Arial"/>
          <w:sz w:val="24"/>
          <w:szCs w:val="24"/>
          <w:highlight w:val="yellow"/>
        </w:rPr>
        <w:t>MCL violation, include the information below [22 CCR section 64481(n)(2)].</w:t>
      </w:r>
    </w:p>
    <w:p>
      <w:pPr>
        <w:pStyle w:val="Heading4"/>
        <w:rPr/>
      </w:pPr>
      <w:r>
        <w:rPr/>
        <w:t xml:space="preserve">Level 2 Assessment Requirement Due to an </w:t>
      </w:r>
      <w:r>
        <w:rPr>
          <w:i/>
        </w:rPr>
        <w:t>E. coli</w:t>
      </w:r>
      <w:r>
        <w:rPr/>
        <w:t xml:space="preserve"> MCL Violation</w:t>
      </w:r>
    </w:p>
    <w:p>
      <w:pPr>
        <w:pStyle w:val="Normal"/>
        <w:keepNext w:val="true"/>
        <w:keepLines/>
        <w:pBdr>
          <w:top w:val="single" w:sz="4" w:space="1" w:color="000000"/>
          <w:left w:val="single" w:sz="4" w:space="4" w:color="000000"/>
          <w:bottom w:val="single" w:sz="4" w:space="1" w:color="000000"/>
          <w:right w:val="single" w:sz="4" w:space="4" w:color="000000"/>
        </w:pBdr>
        <w:spacing w:before="0" w:after="240"/>
        <w:rPr>
          <w:rFonts w:ascii="Arial" w:hAnsi="Arial" w:cs="Arial"/>
          <w:sz w:val="24"/>
          <w:szCs w:val="24"/>
        </w:rPr>
      </w:pPr>
      <w:r>
        <w:rPr>
          <w:rFonts w:cs="Arial" w:ascii="Arial" w:hAnsi="Arial"/>
          <w:i/>
          <w:sz w:val="24"/>
          <w:szCs w:val="24"/>
        </w:rPr>
        <w:t>E. coli</w:t>
      </w:r>
      <w:r>
        <w:rPr>
          <w:rFonts w:cs="Arial" w:ascii="Arial" w:hAnsi="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 compromised immune systems.  We found </w:t>
      </w:r>
      <w:r>
        <w:rPr>
          <w:rFonts w:cs="Arial" w:ascii="Arial" w:hAnsi="Arial"/>
          <w:i/>
          <w:sz w:val="24"/>
          <w:szCs w:val="24"/>
        </w:rPr>
        <w:t>E. coli</w:t>
      </w:r>
      <w:r>
        <w:rPr>
          <w:rFonts w:cs="Arial" w:ascii="Arial" w:hAnsi="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pPr>
        <w:pStyle w:val="Normal"/>
        <w:pBdr>
          <w:top w:val="single" w:sz="4" w:space="1" w:color="000000"/>
          <w:left w:val="single" w:sz="4" w:space="4" w:color="000000"/>
          <w:bottom w:val="single" w:sz="4" w:space="1" w:color="000000"/>
          <w:right w:val="single" w:sz="4" w:space="4" w:color="000000"/>
        </w:pBdr>
        <w:spacing w:before="0" w:after="240"/>
        <w:rPr>
          <w:rFonts w:ascii="Arial" w:hAnsi="Arial" w:cs="Arial"/>
          <w:sz w:val="24"/>
          <w:szCs w:val="24"/>
        </w:rPr>
      </w:pPr>
      <w:r>
        <w:rPr>
          <w:rFonts w:cs="Arial" w:ascii="Arial" w:hAnsi="Arial"/>
          <w:sz w:val="24"/>
          <w:szCs w:val="24"/>
        </w:rPr>
        <w:t xml:space="preserve">We were required to complete a Level 2 assessment because we found </w:t>
      </w:r>
      <w:r>
        <w:rPr>
          <w:rFonts w:cs="Arial" w:ascii="Arial" w:hAnsi="Arial"/>
          <w:i/>
          <w:sz w:val="24"/>
          <w:szCs w:val="24"/>
        </w:rPr>
        <w:t>E. coli</w:t>
      </w:r>
      <w:r>
        <w:rPr>
          <w:rFonts w:cs="Arial" w:ascii="Arial" w:hAnsi="Arial"/>
          <w:sz w:val="24"/>
          <w:szCs w:val="24"/>
        </w:rPr>
        <w:t xml:space="preserve"> in our water system.  In addition, we were required to take [Insert Number of Corrective Actions] corrective actions and we completed [Insert Number of Corrective Actions] of these actions.</w:t>
      </w:r>
    </w:p>
    <w:p>
      <w:pPr>
        <w:pStyle w:val="Normal"/>
        <w:spacing w:before="0" w:after="240"/>
        <w:rPr>
          <w:rFonts w:ascii="Arial" w:hAnsi="Arial" w:cs="Arial"/>
          <w:sz w:val="24"/>
          <w:szCs w:val="24"/>
          <w:highlight w:val="yellow"/>
        </w:rPr>
      </w:pPr>
      <w:r>
        <w:rPr>
          <w:rFonts w:cs="Arial" w:ascii="Arial" w:hAnsi="Arial"/>
          <w:sz w:val="24"/>
          <w:szCs w:val="24"/>
          <w:highlight w:val="yellow"/>
        </w:rPr>
        <w:t>If a water system failed to complete the required assessment or correct all identified sanitary defects, the water system is in violation of the treatment technique requirement and shall include the following statements, as appropriate:</w:t>
      </w:r>
    </w:p>
    <w:p>
      <w:pPr>
        <w:pStyle w:val="Normal"/>
        <w:pBdr>
          <w:top w:val="single" w:sz="4" w:space="1" w:color="000000"/>
          <w:left w:val="single" w:sz="4" w:space="4" w:color="000000"/>
          <w:bottom w:val="single" w:sz="4" w:space="1" w:color="000000"/>
          <w:right w:val="single" w:sz="4" w:space="4" w:color="000000"/>
        </w:pBdr>
        <w:rPr>
          <w:rFonts w:ascii="Arial" w:hAnsi="Arial" w:cs="Arial"/>
          <w:sz w:val="24"/>
          <w:szCs w:val="24"/>
          <w:highlight w:val="yellow"/>
        </w:rPr>
      </w:pPr>
      <w:r>
        <w:rPr>
          <w:rFonts w:cs="Arial" w:ascii="Arial" w:hAnsi="Arial"/>
          <w:sz w:val="24"/>
          <w:szCs w:val="24"/>
          <w:highlight w:val="yellow"/>
        </w:rPr>
        <w:t>We failed to conduct the required assessment.</w:t>
      </w:r>
    </w:p>
    <w:p>
      <w:pPr>
        <w:pStyle w:val="Normal"/>
        <w:pBdr>
          <w:top w:val="single" w:sz="4" w:space="1" w:color="000000"/>
          <w:left w:val="single" w:sz="4" w:space="4" w:color="000000"/>
          <w:bottom w:val="single" w:sz="4" w:space="1" w:color="000000"/>
          <w:right w:val="single" w:sz="4" w:space="4" w:color="000000"/>
        </w:pBdr>
        <w:rPr>
          <w:rFonts w:ascii="Arial" w:hAnsi="Arial" w:cs="Arial"/>
          <w:sz w:val="24"/>
          <w:szCs w:val="24"/>
          <w:highlight w:val="yellow"/>
        </w:rPr>
      </w:pPr>
      <w:r>
        <w:rPr>
          <w:rFonts w:cs="Arial" w:ascii="Arial" w:hAnsi="Arial"/>
          <w:sz w:val="24"/>
          <w:szCs w:val="24"/>
          <w:highlight w:val="yellow"/>
        </w:rPr>
      </w:r>
    </w:p>
    <w:p>
      <w:pPr>
        <w:pStyle w:val="Normal"/>
        <w:pBdr>
          <w:top w:val="single" w:sz="4" w:space="1" w:color="000000"/>
          <w:left w:val="single" w:sz="4" w:space="4" w:color="000000"/>
          <w:bottom w:val="single" w:sz="4" w:space="1" w:color="000000"/>
          <w:right w:val="single" w:sz="4" w:space="4" w:color="000000"/>
        </w:pBdr>
        <w:rPr>
          <w:rFonts w:ascii="Arial" w:hAnsi="Arial" w:cs="Arial"/>
          <w:sz w:val="24"/>
          <w:szCs w:val="24"/>
          <w:highlight w:val="yellow"/>
        </w:rPr>
      </w:pPr>
      <w:r>
        <w:rPr>
          <w:rFonts w:cs="Arial" w:ascii="Arial" w:hAnsi="Arial"/>
          <w:sz w:val="24"/>
          <w:szCs w:val="24"/>
          <w:highlight w:val="yellow"/>
        </w:rPr>
        <w:t>We failed to correct all sanitary defects that were identified during the assessment.</w:t>
      </w:r>
    </w:p>
    <w:p>
      <w:pPr>
        <w:pStyle w:val="Normal"/>
        <w:rPr>
          <w:rFonts w:ascii="Arial" w:hAnsi="Arial" w:cs="Arial"/>
          <w:i/>
          <w:i/>
          <w:iCs/>
          <w:sz w:val="24"/>
          <w:szCs w:val="24"/>
          <w:highlight w:val="yellow"/>
        </w:rPr>
      </w:pPr>
      <w:r>
        <w:rPr>
          <w:rFonts w:cs="Arial" w:ascii="Arial" w:hAnsi="Arial"/>
          <w:i/>
          <w:iCs/>
          <w:sz w:val="24"/>
          <w:szCs w:val="24"/>
          <w:highlight w:val="yellow"/>
        </w:rPr>
      </w:r>
    </w:p>
    <w:p>
      <w:pPr>
        <w:pStyle w:val="Normal"/>
        <w:spacing w:before="0" w:after="240"/>
        <w:rPr>
          <w:rFonts w:ascii="Arial" w:hAnsi="Arial" w:cs="Arial"/>
          <w:sz w:val="24"/>
          <w:szCs w:val="24"/>
          <w:highlight w:val="yellow"/>
        </w:rPr>
      </w:pPr>
      <w:r>
        <w:rPr>
          <w:rFonts w:cs="Arial" w:ascii="Arial" w:hAnsi="Arial"/>
          <w:sz w:val="24"/>
          <w:szCs w:val="24"/>
          <w:highlight w:val="yellow"/>
        </w:rPr>
        <w:t xml:space="preserve">If a water system detects </w:t>
      </w:r>
      <w:r>
        <w:rPr>
          <w:rFonts w:cs="Arial" w:ascii="Arial" w:hAnsi="Arial"/>
          <w:i/>
          <w:iCs/>
          <w:sz w:val="24"/>
          <w:szCs w:val="24"/>
          <w:highlight w:val="yellow"/>
        </w:rPr>
        <w:t>E. coli</w:t>
      </w:r>
      <w:r>
        <w:rPr>
          <w:rFonts w:cs="Arial" w:ascii="Arial" w:hAnsi="Arial"/>
          <w:sz w:val="24"/>
          <w:szCs w:val="24"/>
          <w:highlight w:val="yellow"/>
        </w:rPr>
        <w:t xml:space="preserve"> and has violated the </w:t>
      </w:r>
      <w:r>
        <w:rPr>
          <w:rFonts w:cs="Arial" w:ascii="Arial" w:hAnsi="Arial"/>
          <w:i/>
          <w:iCs/>
          <w:sz w:val="24"/>
          <w:szCs w:val="24"/>
          <w:highlight w:val="yellow"/>
        </w:rPr>
        <w:t>E. coli</w:t>
      </w:r>
      <w:r>
        <w:rPr>
          <w:rFonts w:cs="Arial" w:ascii="Arial" w:hAnsi="Arial"/>
          <w:sz w:val="24"/>
          <w:szCs w:val="24"/>
          <w:highlight w:val="yellow"/>
        </w:rPr>
        <w:t xml:space="preserve"> MCL, include one or more the following statements to describe any noncompliance, as applicable:</w:t>
      </w:r>
      <w:r>
        <w:rPr>
          <w:highlight w:val="yellow"/>
        </w:rPr>
        <w:t xml:space="preserve"> </w:t>
      </w:r>
    </w:p>
    <w:p>
      <w:pPr>
        <w:pStyle w:val="Normal"/>
        <w:pBdr>
          <w:top w:val="single" w:sz="4" w:space="1" w:color="000000"/>
          <w:left w:val="single" w:sz="4" w:space="4" w:color="000000"/>
          <w:bottom w:val="single" w:sz="4" w:space="1" w:color="000000"/>
          <w:right w:val="single" w:sz="4" w:space="4" w:color="000000"/>
        </w:pBdr>
        <w:rPr>
          <w:rFonts w:ascii="Arial" w:hAnsi="Arial" w:cs="Arial"/>
          <w:sz w:val="24"/>
          <w:szCs w:val="24"/>
          <w:highlight w:val="yellow"/>
        </w:rPr>
      </w:pPr>
      <w:r>
        <w:rPr>
          <w:rFonts w:cs="Arial" w:ascii="Arial" w:hAnsi="Arial"/>
          <w:sz w:val="24"/>
          <w:szCs w:val="24"/>
          <w:highlight w:val="yellow"/>
        </w:rPr>
        <w:t xml:space="preserve">We had an </w:t>
      </w:r>
      <w:r>
        <w:rPr>
          <w:rFonts w:cs="Arial" w:ascii="Arial" w:hAnsi="Arial"/>
          <w:i/>
          <w:iCs/>
          <w:sz w:val="24"/>
          <w:szCs w:val="24"/>
          <w:highlight w:val="yellow"/>
        </w:rPr>
        <w:t>E. coli</w:t>
      </w:r>
      <w:r>
        <w:rPr>
          <w:rFonts w:cs="Arial" w:ascii="Arial" w:hAnsi="Arial"/>
          <w:sz w:val="24"/>
          <w:szCs w:val="24"/>
          <w:highlight w:val="yellow"/>
        </w:rPr>
        <w:t>-positive repeat sample following a total coliform positive routine sample.</w:t>
      </w:r>
    </w:p>
    <w:p>
      <w:pPr>
        <w:pStyle w:val="Normal"/>
        <w:pBdr>
          <w:top w:val="single" w:sz="4" w:space="1" w:color="000000"/>
          <w:left w:val="single" w:sz="4" w:space="4" w:color="000000"/>
          <w:bottom w:val="single" w:sz="4" w:space="1" w:color="000000"/>
          <w:right w:val="single" w:sz="4" w:space="4" w:color="000000"/>
        </w:pBdr>
        <w:rPr>
          <w:rFonts w:ascii="Arial" w:hAnsi="Arial" w:cs="Arial"/>
          <w:sz w:val="24"/>
          <w:szCs w:val="24"/>
          <w:highlight w:val="yellow"/>
        </w:rPr>
      </w:pPr>
      <w:r>
        <w:rPr>
          <w:rFonts w:cs="Arial" w:ascii="Arial" w:hAnsi="Arial"/>
          <w:sz w:val="24"/>
          <w:szCs w:val="24"/>
          <w:highlight w:val="yellow"/>
        </w:rPr>
      </w:r>
    </w:p>
    <w:p>
      <w:pPr>
        <w:pStyle w:val="Normal"/>
        <w:pBdr>
          <w:top w:val="single" w:sz="4" w:space="1" w:color="000000"/>
          <w:left w:val="single" w:sz="4" w:space="4" w:color="000000"/>
          <w:bottom w:val="single" w:sz="4" w:space="1" w:color="000000"/>
          <w:right w:val="single" w:sz="4" w:space="4" w:color="000000"/>
        </w:pBdr>
        <w:rPr>
          <w:rFonts w:ascii="Arial" w:hAnsi="Arial" w:cs="Arial"/>
          <w:sz w:val="24"/>
          <w:szCs w:val="24"/>
          <w:highlight w:val="yellow"/>
        </w:rPr>
      </w:pPr>
      <w:r>
        <w:rPr>
          <w:rFonts w:cs="Arial" w:ascii="Arial" w:hAnsi="Arial"/>
          <w:sz w:val="24"/>
          <w:szCs w:val="24"/>
          <w:highlight w:val="yellow"/>
        </w:rPr>
        <w:t xml:space="preserve">We had a total coliform-positive repeat sample following an </w:t>
      </w:r>
      <w:r>
        <w:rPr>
          <w:rFonts w:cs="Arial" w:ascii="Arial" w:hAnsi="Arial"/>
          <w:i/>
          <w:iCs/>
          <w:sz w:val="24"/>
          <w:szCs w:val="24"/>
          <w:highlight w:val="yellow"/>
        </w:rPr>
        <w:t>E. coli</w:t>
      </w:r>
      <w:r>
        <w:rPr>
          <w:rFonts w:cs="Arial" w:ascii="Arial" w:hAnsi="Arial"/>
          <w:sz w:val="24"/>
          <w:szCs w:val="24"/>
          <w:highlight w:val="yellow"/>
        </w:rPr>
        <w:t>-positive routine sample.</w:t>
      </w:r>
    </w:p>
    <w:p>
      <w:pPr>
        <w:pStyle w:val="Normal"/>
        <w:pBdr>
          <w:top w:val="single" w:sz="4" w:space="1" w:color="000000"/>
          <w:left w:val="single" w:sz="4" w:space="4" w:color="000000"/>
          <w:bottom w:val="single" w:sz="4" w:space="1" w:color="000000"/>
          <w:right w:val="single" w:sz="4" w:space="4" w:color="000000"/>
        </w:pBdr>
        <w:rPr>
          <w:rFonts w:ascii="Arial" w:hAnsi="Arial" w:cs="Arial"/>
          <w:sz w:val="24"/>
          <w:szCs w:val="24"/>
          <w:highlight w:val="yellow"/>
        </w:rPr>
      </w:pPr>
      <w:r>
        <w:rPr>
          <w:rFonts w:cs="Arial" w:ascii="Arial" w:hAnsi="Arial"/>
          <w:sz w:val="24"/>
          <w:szCs w:val="24"/>
          <w:highlight w:val="yellow"/>
        </w:rPr>
      </w:r>
    </w:p>
    <w:p>
      <w:pPr>
        <w:pStyle w:val="Normal"/>
        <w:pBdr>
          <w:top w:val="single" w:sz="4" w:space="1" w:color="000000"/>
          <w:left w:val="single" w:sz="4" w:space="4" w:color="000000"/>
          <w:bottom w:val="single" w:sz="4" w:space="1" w:color="000000"/>
          <w:right w:val="single" w:sz="4" w:space="4" w:color="000000"/>
        </w:pBdr>
        <w:rPr>
          <w:rFonts w:ascii="Arial" w:hAnsi="Arial" w:cs="Arial"/>
          <w:sz w:val="24"/>
          <w:szCs w:val="24"/>
          <w:highlight w:val="yellow"/>
        </w:rPr>
      </w:pPr>
      <w:r>
        <w:rPr>
          <w:rFonts w:cs="Arial" w:ascii="Arial" w:hAnsi="Arial"/>
          <w:sz w:val="24"/>
          <w:szCs w:val="24"/>
          <w:highlight w:val="yellow"/>
        </w:rPr>
        <w:t xml:space="preserve">We failed to take all required repeat samples following an </w:t>
      </w:r>
      <w:r>
        <w:rPr>
          <w:rFonts w:cs="Arial" w:ascii="Arial" w:hAnsi="Arial"/>
          <w:i/>
          <w:iCs/>
          <w:sz w:val="24"/>
          <w:szCs w:val="24"/>
          <w:highlight w:val="yellow"/>
        </w:rPr>
        <w:t>E. coli</w:t>
      </w:r>
      <w:r>
        <w:rPr>
          <w:rFonts w:cs="Arial" w:ascii="Arial" w:hAnsi="Arial"/>
          <w:sz w:val="24"/>
          <w:szCs w:val="24"/>
          <w:highlight w:val="yellow"/>
        </w:rPr>
        <w:t>-positive routine sample.</w:t>
      </w:r>
    </w:p>
    <w:p>
      <w:pPr>
        <w:pStyle w:val="Normal"/>
        <w:pBdr>
          <w:top w:val="single" w:sz="4" w:space="1" w:color="000000"/>
          <w:left w:val="single" w:sz="4" w:space="4" w:color="000000"/>
          <w:bottom w:val="single" w:sz="4" w:space="1" w:color="000000"/>
          <w:right w:val="single" w:sz="4" w:space="4" w:color="000000"/>
        </w:pBdr>
        <w:rPr>
          <w:rFonts w:ascii="Arial" w:hAnsi="Arial" w:cs="Arial"/>
          <w:sz w:val="24"/>
          <w:szCs w:val="24"/>
          <w:highlight w:val="yellow"/>
        </w:rPr>
      </w:pPr>
      <w:r>
        <w:rPr>
          <w:rFonts w:cs="Arial" w:ascii="Arial" w:hAnsi="Arial"/>
          <w:sz w:val="24"/>
          <w:szCs w:val="24"/>
          <w:highlight w:val="yellow"/>
        </w:rPr>
      </w:r>
    </w:p>
    <w:p>
      <w:pPr>
        <w:pStyle w:val="Normal"/>
        <w:pBdr>
          <w:top w:val="single" w:sz="4" w:space="1" w:color="000000"/>
          <w:left w:val="single" w:sz="4" w:space="4" w:color="000000"/>
          <w:bottom w:val="single" w:sz="4" w:space="1" w:color="000000"/>
          <w:right w:val="single" w:sz="4" w:space="4" w:color="000000"/>
        </w:pBdr>
        <w:rPr>
          <w:rFonts w:ascii="Arial" w:hAnsi="Arial" w:cs="Arial"/>
          <w:sz w:val="24"/>
          <w:szCs w:val="24"/>
          <w:highlight w:val="yellow"/>
        </w:rPr>
      </w:pPr>
      <w:r>
        <w:rPr>
          <w:rFonts w:cs="Arial" w:ascii="Arial" w:hAnsi="Arial"/>
          <w:sz w:val="24"/>
          <w:szCs w:val="24"/>
          <w:highlight w:val="yellow"/>
        </w:rPr>
        <w:t xml:space="preserve">We failed to test for </w:t>
      </w:r>
      <w:r>
        <w:rPr>
          <w:rFonts w:cs="Arial" w:ascii="Arial" w:hAnsi="Arial"/>
          <w:i/>
          <w:iCs/>
          <w:sz w:val="24"/>
          <w:szCs w:val="24"/>
          <w:highlight w:val="yellow"/>
        </w:rPr>
        <w:t>E. coli</w:t>
      </w:r>
      <w:r>
        <w:rPr>
          <w:rFonts w:cs="Arial" w:ascii="Arial" w:hAnsi="Arial"/>
          <w:sz w:val="24"/>
          <w:szCs w:val="24"/>
          <w:highlight w:val="yellow"/>
        </w:rPr>
        <w:t xml:space="preserve"> when any repeat sample tests positive for </w:t>
      </w:r>
      <w:bookmarkStart w:id="21" w:name="_GoBack"/>
      <w:bookmarkEnd w:id="21"/>
      <w:r>
        <w:rPr>
          <w:rFonts w:cs="Arial" w:ascii="Arial" w:hAnsi="Arial"/>
          <w:sz w:val="24"/>
          <w:szCs w:val="24"/>
          <w:highlight w:val="yellow"/>
        </w:rPr>
        <w:t>total coliform.</w:t>
      </w:r>
    </w:p>
    <w:p>
      <w:pPr>
        <w:pStyle w:val="Normal"/>
        <w:rPr>
          <w:rFonts w:ascii="Arial" w:hAnsi="Arial" w:cs="Arial"/>
          <w:i/>
          <w:i/>
          <w:iCs/>
          <w:sz w:val="24"/>
          <w:szCs w:val="24"/>
          <w:highlight w:val="yellow"/>
        </w:rPr>
      </w:pPr>
      <w:r>
        <w:rPr>
          <w:rFonts w:cs="Arial" w:ascii="Arial" w:hAnsi="Arial"/>
          <w:i/>
          <w:iCs/>
          <w:sz w:val="24"/>
          <w:szCs w:val="24"/>
          <w:highlight w:val="yellow"/>
        </w:rPr>
      </w:r>
    </w:p>
    <w:p>
      <w:pPr>
        <w:pStyle w:val="Normal"/>
        <w:rPr>
          <w:rFonts w:ascii="Arial" w:hAnsi="Arial" w:cs="Arial"/>
          <w:sz w:val="24"/>
          <w:szCs w:val="24"/>
        </w:rPr>
      </w:pPr>
      <w:r>
        <w:rPr>
          <w:rFonts w:cs="Arial" w:ascii="Arial" w:hAnsi="Arial"/>
          <w:sz w:val="24"/>
          <w:szCs w:val="24"/>
          <w:highlight w:val="yellow"/>
        </w:rPr>
        <w:t xml:space="preserve">[If a water system detects </w:t>
      </w:r>
      <w:r>
        <w:rPr>
          <w:rFonts w:cs="Arial" w:ascii="Arial" w:hAnsi="Arial"/>
          <w:i/>
          <w:iCs/>
          <w:sz w:val="24"/>
          <w:szCs w:val="24"/>
          <w:highlight w:val="yellow"/>
        </w:rPr>
        <w:t>E. coli</w:t>
      </w:r>
      <w:r>
        <w:rPr>
          <w:rFonts w:cs="Arial" w:ascii="Arial" w:hAnsi="Arial"/>
          <w:sz w:val="24"/>
          <w:szCs w:val="24"/>
          <w:highlight w:val="yellow"/>
        </w:rPr>
        <w:t xml:space="preserve"> and has not violated the </w:t>
      </w:r>
      <w:r>
        <w:rPr>
          <w:rFonts w:cs="Arial" w:ascii="Arial" w:hAnsi="Arial"/>
          <w:i/>
          <w:iCs/>
          <w:sz w:val="24"/>
          <w:szCs w:val="24"/>
          <w:highlight w:val="yellow"/>
        </w:rPr>
        <w:t>E. coli</w:t>
      </w:r>
      <w:r>
        <w:rPr>
          <w:rFonts w:cs="Arial" w:ascii="Arial" w:hAnsi="Arial"/>
          <w:sz w:val="24"/>
          <w:szCs w:val="24"/>
          <w:highlight w:val="yellow"/>
        </w:rPr>
        <w:t xml:space="preserve"> MCL, the water system may include a statement that explains that although they have detected </w:t>
      </w:r>
      <w:r>
        <w:rPr>
          <w:rFonts w:cs="Arial" w:ascii="Arial" w:hAnsi="Arial"/>
          <w:i/>
          <w:iCs/>
          <w:sz w:val="24"/>
          <w:szCs w:val="24"/>
          <w:highlight w:val="yellow"/>
        </w:rPr>
        <w:t>E. coli</w:t>
      </w:r>
      <w:r>
        <w:rPr>
          <w:rFonts w:cs="Arial" w:ascii="Arial" w:hAnsi="Arial"/>
          <w:sz w:val="24"/>
          <w:szCs w:val="24"/>
          <w:highlight w:val="yellow"/>
        </w:rPr>
        <w:t xml:space="preserve">, they are not in violation of the </w:t>
      </w:r>
      <w:r>
        <w:rPr>
          <w:rFonts w:cs="Arial" w:ascii="Arial" w:hAnsi="Arial"/>
          <w:i/>
          <w:iCs/>
          <w:sz w:val="24"/>
          <w:szCs w:val="24"/>
          <w:highlight w:val="yellow"/>
        </w:rPr>
        <w:t xml:space="preserve">E. coli </w:t>
      </w:r>
      <w:r>
        <w:rPr>
          <w:rFonts w:cs="Arial" w:ascii="Arial" w:hAnsi="Arial"/>
          <w:sz w:val="24"/>
          <w:szCs w:val="24"/>
          <w:highlight w:val="yellow"/>
        </w:rPr>
        <w:t>MCL.</w:t>
      </w:r>
      <w:r>
        <w:rPr>
          <w:rFonts w:cs="Arial" w:ascii="Arial" w:hAnsi="Arial"/>
          <w:sz w:val="24"/>
          <w:szCs w:val="24"/>
        </w:rPr>
        <w:t>]</w:t>
      </w:r>
    </w:p>
    <w:sectPr>
      <w:headerReference w:type="default" r:id="rId3"/>
      <w:footerReference w:type="default" r:id="rId4"/>
      <w:type w:val="nextPage"/>
      <w:pgSz w:w="12240" w:h="15840"/>
      <w:pgMar w:left="720" w:right="720" w:header="432" w:top="864" w:footer="432" w:bottom="864" w:gutter="0"/>
      <w:pgNumType w:fmt="decimal"/>
      <w:formProt w:val="false"/>
      <w:textDirection w:val="lrTb"/>
      <w:docGrid w:type="default" w:linePitch="272"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Footlight MT Light">
    <w:charset w:val="00"/>
    <w:family w:val="roman"/>
    <w:pitch w:val="variable"/>
  </w:font>
  <w:font w:name="Comic Sans MS">
    <w:charset w:val="00"/>
    <w:family w:val="roman"/>
    <w:pitch w:val="variable"/>
  </w:font>
  <w:font w:name="Tahoma">
    <w:charset w:val="00"/>
    <w:family w:val="roman"/>
    <w:pitch w:val="variable"/>
  </w:font>
  <w:font w:name="Liberation Sans">
    <w:altName w:val="Arial"/>
    <w:charset w:val="00"/>
    <w:family w:val="roman"/>
    <w:pitch w:val="variable"/>
  </w:font>
  <w:font w:name="Calibri Light">
    <w:charset w:val="00"/>
    <w:family w:val="roman"/>
    <w:pitch w:val="variable"/>
  </w:font>
  <w:font w:name="sans-serif">
    <w:altName w:val="Arial"/>
    <w:charset w:val="00"/>
    <w:family w:val="roman"/>
    <w:pitch w:val="variable"/>
  </w:font>
  <w:font w:name="serif">
    <w:charset w:val="00"/>
    <w:family w:val="roman"/>
    <w:pitch w:val="variable"/>
  </w:font>
  <w:font w:name="TimesNewRomanPSMT">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lear" w:pos="4320"/>
        <w:tab w:val="clear" w:pos="8640"/>
        <w:tab w:val="right" w:pos="10800" w:leader="none"/>
      </w:tabs>
      <w:rPr>
        <w:rFonts w:ascii="Arial" w:hAnsi="Arial" w:cs="Arial"/>
        <w:sz w:val="24"/>
        <w:szCs w:val="24"/>
      </w:rPr>
    </w:pPr>
    <w:r>
      <w:rPr>
        <w:rFonts w:cs="Arial" w:ascii="Arial" w:hAnsi="Arial"/>
        <w:sz w:val="24"/>
        <w:szCs w:val="24"/>
      </w:rPr>
      <w:t>SWS CCR</w:t>
      <w:tab/>
    </w:r>
    <w:r>
      <w:rPr>
        <w:rFonts w:cs="Arial" w:ascii="Arial" w:hAnsi="Arial"/>
        <w:sz w:val="24"/>
        <w:szCs w:val="24"/>
        <w:highlight w:val="yellow"/>
      </w:rPr>
      <w:t>Revised January 2022</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lear" w:pos="4320"/>
        <w:tab w:val="clear" w:pos="8640"/>
        <w:tab w:val="right" w:pos="10800" w:leader="none"/>
      </w:tabs>
      <w:spacing w:before="0" w:after="480"/>
      <w:rPr/>
    </w:pPr>
    <w:r>
      <w:rPr>
        <w:rFonts w:cs="Arial" w:ascii="Arial" w:hAnsi="Arial"/>
        <w:sz w:val="24"/>
        <w:szCs w:val="24"/>
      </w:rPr>
      <w:t>Consumer Confidence Report</w:t>
      <w:tab/>
      <w:t xml:space="preserve">Page </w:t>
    </w:r>
    <w:r>
      <w:rPr>
        <w:rStyle w:val="Pagenumber"/>
        <w:rFonts w:cs="Arial" w:ascii="Arial" w:hAnsi="Arial"/>
        <w:sz w:val="24"/>
        <w:szCs w:val="24"/>
      </w:rPr>
      <w:fldChar w:fldCharType="begin"/>
    </w:r>
    <w:r>
      <w:rPr>
        <w:rStyle w:val="Pagenumber"/>
        <w:sz w:val="24"/>
        <w:szCs w:val="24"/>
        <w:rFonts w:cs="Arial" w:ascii="Arial" w:hAnsi="Arial"/>
      </w:rPr>
      <w:instrText> PAGE </w:instrText>
    </w:r>
    <w:r>
      <w:rPr>
        <w:rStyle w:val="Pagenumber"/>
        <w:sz w:val="24"/>
        <w:szCs w:val="24"/>
        <w:rFonts w:cs="Arial" w:ascii="Arial" w:hAnsi="Arial"/>
      </w:rPr>
      <w:fldChar w:fldCharType="separate"/>
    </w:r>
    <w:r>
      <w:rPr>
        <w:rStyle w:val="Pagenumber"/>
        <w:sz w:val="24"/>
        <w:szCs w:val="24"/>
        <w:rFonts w:cs="Arial" w:ascii="Arial" w:hAnsi="Arial"/>
      </w:rPr>
      <w:t>11</w:t>
    </w:r>
    <w:r>
      <w:rPr>
        <w:rStyle w:val="Pagenumber"/>
        <w:sz w:val="24"/>
        <w:szCs w:val="24"/>
        <w:rFonts w:cs="Arial" w:ascii="Arial" w:hAnsi="Arial"/>
      </w:rPr>
      <w:fldChar w:fldCharType="end"/>
    </w:r>
    <w:r>
      <w:rPr>
        <w:rStyle w:val="Pagenumber"/>
        <w:rFonts w:cs="Arial" w:ascii="Arial" w:hAnsi="Arial"/>
        <w:sz w:val="24"/>
        <w:szCs w:val="24"/>
      </w:rPr>
      <w:t xml:space="preserve"> of </w:t>
    </w:r>
    <w:r>
      <w:rPr>
        <w:rStyle w:val="Pagenumber"/>
        <w:rFonts w:cs="Arial" w:ascii="Arial" w:hAnsi="Arial"/>
        <w:sz w:val="24"/>
        <w:szCs w:val="24"/>
      </w:rPr>
      <w:fldChar w:fldCharType="begin"/>
    </w:r>
    <w:r>
      <w:rPr>
        <w:rStyle w:val="Pagenumber"/>
        <w:sz w:val="24"/>
        <w:szCs w:val="24"/>
        <w:rFonts w:cs="Arial" w:ascii="Arial" w:hAnsi="Arial"/>
      </w:rPr>
      <w:instrText> NUMPAGES </w:instrText>
    </w:r>
    <w:r>
      <w:rPr>
        <w:rStyle w:val="Pagenumber"/>
        <w:sz w:val="24"/>
        <w:szCs w:val="24"/>
        <w:rFonts w:cs="Arial" w:ascii="Arial" w:hAnsi="Arial"/>
      </w:rPr>
      <w:fldChar w:fldCharType="separate"/>
    </w:r>
    <w:r>
      <w:rPr>
        <w:rStyle w:val="Pagenumber"/>
        <w:sz w:val="24"/>
        <w:szCs w:val="24"/>
        <w:rFonts w:cs="Arial" w:ascii="Arial" w:hAnsi="Arial"/>
      </w:rPr>
      <w:t>11</w:t>
    </w:r>
    <w:r>
      <w:rPr>
        <w:rStyle w:val="Pagenumber"/>
        <w:sz w:val="24"/>
        <w:szCs w:val="24"/>
        <w:rFonts w:cs="Arial" w:ascii="Arial" w:hAnsi="Arial"/>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0214a"/>
    <w:pPr>
      <w:widowControl/>
      <w:suppressAutoHyphens w:val="true"/>
      <w:bidi w:val="0"/>
      <w:spacing w:before="0" w:after="0"/>
      <w:jc w:val="left"/>
    </w:pPr>
    <w:rPr>
      <w:rFonts w:ascii="Times New Roman" w:hAnsi="Times New Roman" w:eastAsia="Times New Roman" w:cs="Times New Roman"/>
      <w:color w:val="auto"/>
      <w:kern w:val="0"/>
      <w:sz w:val="20"/>
      <w:szCs w:val="20"/>
      <w:lang w:val="en-US" w:eastAsia="en-US" w:bidi="ar-SA"/>
    </w:rPr>
  </w:style>
  <w:style w:type="paragraph" w:styleId="Heading1">
    <w:name w:val="Heading 1"/>
    <w:basedOn w:val="Heading2"/>
    <w:next w:val="Normal"/>
    <w:qFormat/>
    <w:rsid w:val="00bf628d"/>
    <w:pPr>
      <w:spacing w:before="240" w:after="0"/>
      <w:outlineLvl w:val="0"/>
    </w:pPr>
    <w:rPr>
      <w:sz w:val="32"/>
      <w:szCs w:val="32"/>
    </w:rPr>
  </w:style>
  <w:style w:type="paragraph" w:styleId="Heading2">
    <w:name w:val="Heading 2"/>
    <w:basedOn w:val="Normal"/>
    <w:next w:val="Normal"/>
    <w:qFormat/>
    <w:rsid w:val="00bf628d"/>
    <w:pPr>
      <w:keepNext w:val="true"/>
      <w:spacing w:before="360" w:after="240"/>
      <w:outlineLvl w:val="1"/>
    </w:pPr>
    <w:rPr>
      <w:rFonts w:ascii="Arial" w:hAnsi="Arial" w:cs="Arial"/>
      <w:b/>
      <w:bCs/>
      <w:sz w:val="28"/>
      <w:szCs w:val="24"/>
    </w:rPr>
  </w:style>
  <w:style w:type="paragraph" w:styleId="Heading3">
    <w:name w:val="Heading 3"/>
    <w:basedOn w:val="Caption1"/>
    <w:next w:val="Normal"/>
    <w:qFormat/>
    <w:rsid w:val="00bf628d"/>
    <w:pPr>
      <w:keepNext w:val="false"/>
      <w:spacing w:before="240" w:after="240"/>
      <w:outlineLvl w:val="2"/>
    </w:pPr>
    <w:rPr>
      <w:bCs/>
      <w:color w:val="0000FF"/>
    </w:rPr>
  </w:style>
  <w:style w:type="paragraph" w:styleId="Heading4">
    <w:name w:val="Heading 4"/>
    <w:basedOn w:val="Heading3"/>
    <w:next w:val="Normal"/>
    <w:qFormat/>
    <w:rsid w:val="00bf628d"/>
    <w:pPr>
      <w:keepNext w:val="true"/>
      <w:keepLines/>
      <w:spacing w:before="0" w:after="240"/>
      <w:outlineLvl w:val="3"/>
    </w:pPr>
    <w:rPr>
      <w:iCs/>
      <w:color w:val="000000" w:themeColor="text1"/>
    </w:rPr>
  </w:style>
  <w:style w:type="paragraph" w:styleId="Heading5">
    <w:name w:val="Heading 5"/>
    <w:basedOn w:val="Normal"/>
    <w:next w:val="Normal"/>
    <w:qFormat/>
    <w:pPr>
      <w:keepNext w:val="true"/>
      <w:jc w:val="center"/>
      <w:outlineLvl w:val="4"/>
    </w:pPr>
    <w:rPr>
      <w:rFonts w:ascii="Footlight MT Light" w:hAnsi="Footlight MT Light"/>
      <w:b/>
      <w:sz w:val="22"/>
    </w:rPr>
  </w:style>
  <w:style w:type="paragraph" w:styleId="Heading6">
    <w:name w:val="Heading 6"/>
    <w:basedOn w:val="Normal"/>
    <w:next w:val="Normal"/>
    <w:qFormat/>
    <w:pPr>
      <w:keepNext w:val="true"/>
      <w:jc w:val="right"/>
      <w:outlineLvl w:val="5"/>
    </w:pPr>
    <w:rPr>
      <w:rFonts w:ascii="Footlight MT Light" w:hAnsi="Footlight MT Light"/>
      <w:sz w:val="24"/>
    </w:rPr>
  </w:style>
  <w:style w:type="paragraph" w:styleId="Heading7">
    <w:name w:val="Heading 7"/>
    <w:basedOn w:val="Normal"/>
    <w:next w:val="Normal"/>
    <w:qFormat/>
    <w:pPr>
      <w:keepNext w:val="true"/>
      <w:spacing w:lineRule="exact" w:line="200"/>
      <w:jc w:val="center"/>
      <w:outlineLvl w:val="6"/>
    </w:pPr>
    <w:rPr>
      <w:rFonts w:ascii="Comic Sans MS" w:hAnsi="Comic Sans MS"/>
      <w:b/>
      <w:bCs/>
      <w:sz w:val="18"/>
    </w:rPr>
  </w:style>
  <w:style w:type="paragraph" w:styleId="Heading8">
    <w:name w:val="Heading 8"/>
    <w:basedOn w:val="Normal"/>
    <w:next w:val="Normal"/>
    <w:qFormat/>
    <w:pPr>
      <w:keepNext w:val="true"/>
      <w:spacing w:lineRule="exact" w:line="200"/>
      <w:outlineLvl w:val="7"/>
    </w:pPr>
    <w:rPr>
      <w:rFonts w:ascii="Comic Sans MS" w:hAnsi="Comic Sans MS"/>
      <w:b/>
      <w:bCs/>
      <w:sz w:val="18"/>
    </w:rPr>
  </w:style>
  <w:style w:type="paragraph" w:styleId="Heading9">
    <w:name w:val="Heading 9"/>
    <w:basedOn w:val="Normal"/>
    <w:next w:val="Normal"/>
    <w:qFormat/>
    <w:pPr>
      <w:keepNext w:val="true"/>
      <w:spacing w:lineRule="exact" w:line="220" w:before="40" w:after="40"/>
      <w:ind w:left="-108" w:right="-90" w:hanging="0"/>
      <w:jc w:val="center"/>
      <w:outlineLvl w:val="8"/>
    </w:pPr>
    <w:rPr>
      <w:b/>
      <w:sz w:val="18"/>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Pr/>
  </w:style>
  <w:style w:type="character" w:styleId="InternetLink">
    <w:name w:val="Hyperlink"/>
    <w:uiPriority w:val="99"/>
    <w:rsid w:val="00fc34f6"/>
    <w:rPr>
      <w:color w:val="0000FF"/>
      <w:u w:val="single"/>
    </w:rPr>
  </w:style>
  <w:style w:type="character" w:styleId="BalloonTextChar" w:customStyle="1">
    <w:name w:val="Balloon Text Char"/>
    <w:link w:val="BalloonText"/>
    <w:qFormat/>
    <w:rsid w:val="00737455"/>
    <w:rPr>
      <w:rFonts w:ascii="Tahoma" w:hAnsi="Tahoma" w:cs="Tahoma"/>
      <w:sz w:val="16"/>
      <w:szCs w:val="16"/>
    </w:rPr>
  </w:style>
  <w:style w:type="character" w:styleId="VisitedInternetLink">
    <w:name w:val="FollowedHyperlink"/>
    <w:rsid w:val="00f07ac1"/>
    <w:rPr>
      <w:color w:val="800080"/>
      <w:u w:val="single"/>
    </w:rPr>
  </w:style>
  <w:style w:type="character" w:styleId="Annotationreference">
    <w:name w:val="annotation reference"/>
    <w:qFormat/>
    <w:rsid w:val="00473411"/>
    <w:rPr>
      <w:sz w:val="16"/>
      <w:szCs w:val="16"/>
    </w:rPr>
  </w:style>
  <w:style w:type="character" w:styleId="CommentTextChar" w:customStyle="1">
    <w:name w:val="Comment Text Char"/>
    <w:basedOn w:val="DefaultParagraphFont"/>
    <w:link w:val="CommentText"/>
    <w:qFormat/>
    <w:rsid w:val="00473411"/>
    <w:rPr/>
  </w:style>
  <w:style w:type="character" w:styleId="CommentSubjectChar" w:customStyle="1">
    <w:name w:val="Comment Subject Char"/>
    <w:link w:val="CommentSubject"/>
    <w:qFormat/>
    <w:rsid w:val="00473411"/>
    <w:rPr>
      <w:b/>
      <w:bCs/>
    </w:rPr>
  </w:style>
  <w:style w:type="character" w:styleId="FootnoteTextChar" w:customStyle="1">
    <w:name w:val="Footnote Text Char"/>
    <w:link w:val="FootnoteText"/>
    <w:qFormat/>
    <w:rsid w:val="00dd7d18"/>
    <w:rPr>
      <w:sz w:val="24"/>
    </w:rPr>
  </w:style>
  <w:style w:type="character" w:styleId="FootnoteCharacters">
    <w:name w:val="Footnote Characters"/>
    <w:qFormat/>
    <w:rsid w:val="00dd7d18"/>
    <w:rPr>
      <w:vertAlign w:val="superscript"/>
    </w:rPr>
  </w:style>
  <w:style w:type="character" w:styleId="FootnoteAnchor">
    <w:name w:val="Footnote Anchor"/>
    <w:rPr>
      <w:vertAlign w:val="superscript"/>
    </w:rPr>
  </w:style>
  <w:style w:type="character" w:styleId="FooterChar" w:customStyle="1">
    <w:name w:val="Footer Char"/>
    <w:basedOn w:val="DefaultParagraphFont"/>
    <w:link w:val="Footer"/>
    <w:uiPriority w:val="99"/>
    <w:qFormat/>
    <w:rsid w:val="00e870eb"/>
    <w:rPr/>
  </w:style>
  <w:style w:type="character" w:styleId="HeaderChar" w:customStyle="1">
    <w:name w:val="Header Char"/>
    <w:basedOn w:val="DefaultParagraphFont"/>
    <w:link w:val="Header"/>
    <w:uiPriority w:val="99"/>
    <w:qFormat/>
    <w:rsid w:val="004562e8"/>
    <w:rPr/>
  </w:style>
  <w:style w:type="character" w:styleId="EndnoteTextChar" w:customStyle="1">
    <w:name w:val="Endnote Text Char"/>
    <w:basedOn w:val="DefaultParagraphFont"/>
    <w:link w:val="EndnoteText"/>
    <w:qFormat/>
    <w:rsid w:val="00d62607"/>
    <w:rPr/>
  </w:style>
  <w:style w:type="character" w:styleId="EndnoteCharacters">
    <w:name w:val="Endnote Characters"/>
    <w:basedOn w:val="DefaultParagraphFont"/>
    <w:qFormat/>
    <w:rsid w:val="00d62607"/>
    <w:rPr>
      <w:vertAlign w:val="superscript"/>
    </w:rPr>
  </w:style>
  <w:style w:type="character" w:styleId="EndnoteAnchor">
    <w:name w:val="Endnote Anchor"/>
    <w:rPr>
      <w:vertAlign w:val="superscript"/>
    </w:rPr>
  </w:style>
  <w:style w:type="character" w:styleId="UnresolvedMention">
    <w:name w:val="Unresolved Mention"/>
    <w:basedOn w:val="DefaultParagraphFont"/>
    <w:uiPriority w:val="99"/>
    <w:semiHidden/>
    <w:unhideWhenUsed/>
    <w:qFormat/>
    <w:rsid w:val="005f7f5b"/>
    <w:rPr>
      <w:color w:val="605E5C"/>
      <w:shd w:fill="E1DFDD" w:val="clear"/>
    </w:rPr>
  </w:style>
  <w:style w:type="character" w:styleId="Strong">
    <w:name w:val="Strong"/>
    <w:basedOn w:val="DefaultParagraphFont"/>
    <w:uiPriority w:val="22"/>
    <w:qFormat/>
    <w:rsid w:val="00c72373"/>
    <w:rPr>
      <w:b/>
      <w:bCs/>
    </w:rPr>
  </w:style>
  <w:style w:type="character" w:styleId="BodyTextChar" w:customStyle="1">
    <w:name w:val="Body Text Char"/>
    <w:basedOn w:val="DefaultParagraphFont"/>
    <w:link w:val="BodyText"/>
    <w:qFormat/>
    <w:rsid w:val="0025569c"/>
    <w:rPr>
      <w:rFonts w:ascii="Footlight MT Light" w:hAnsi="Footlight MT Light"/>
      <w:sz w:val="22"/>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pPr>
      <w:spacing w:before="120" w:after="0"/>
      <w:jc w:val="both"/>
    </w:pPr>
    <w:rPr>
      <w:rFonts w:ascii="Footlight MT Light" w:hAnsi="Footlight MT Light"/>
      <w:sz w:val="22"/>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pPr>
      <w:tabs>
        <w:tab w:val="clear" w:pos="720"/>
        <w:tab w:val="center" w:pos="4320" w:leader="none"/>
        <w:tab w:val="right" w:pos="8640" w:leader="none"/>
      </w:tabs>
    </w:pPr>
    <w:rPr/>
  </w:style>
  <w:style w:type="paragraph" w:styleId="Footer">
    <w:name w:val="Footer"/>
    <w:basedOn w:val="Normal"/>
    <w:link w:val="FooterChar"/>
    <w:uiPriority w:val="99"/>
    <w:pPr>
      <w:tabs>
        <w:tab w:val="clear" w:pos="720"/>
        <w:tab w:val="center" w:pos="4320" w:leader="none"/>
        <w:tab w:val="right" w:pos="8640" w:leader="none"/>
      </w:tabs>
    </w:pPr>
    <w:rPr/>
  </w:style>
  <w:style w:type="paragraph" w:styleId="Caption1">
    <w:name w:val="caption"/>
    <w:basedOn w:val="Normal"/>
    <w:next w:val="Normal"/>
    <w:qFormat/>
    <w:rsid w:val="00070c22"/>
    <w:pPr>
      <w:keepNext w:val="true"/>
      <w:spacing w:before="360" w:after="120"/>
    </w:pPr>
    <w:rPr>
      <w:rFonts w:ascii="Arial" w:hAnsi="Arial" w:cs="Arial"/>
      <w:b/>
      <w:sz w:val="24"/>
      <w:szCs w:val="24"/>
    </w:rPr>
  </w:style>
  <w:style w:type="paragraph" w:styleId="Title">
    <w:name w:val="Title"/>
    <w:basedOn w:val="Normal"/>
    <w:qFormat/>
    <w:pPr>
      <w:spacing w:before="0" w:after="120"/>
      <w:jc w:val="center"/>
    </w:pPr>
    <w:rPr>
      <w:b/>
      <w:u w:val="single"/>
    </w:rPr>
  </w:style>
  <w:style w:type="paragraph" w:styleId="BodyText2">
    <w:name w:val="Body Text 2"/>
    <w:basedOn w:val="Normal"/>
    <w:qFormat/>
    <w:pPr>
      <w:spacing w:before="0" w:after="120"/>
    </w:pPr>
    <w:rPr>
      <w:rFonts w:ascii="Footlight MT Light" w:hAnsi="Footlight MT Light"/>
      <w:sz w:val="22"/>
    </w:rPr>
  </w:style>
  <w:style w:type="paragraph" w:styleId="BodyText3">
    <w:name w:val="Body Text 3"/>
    <w:basedOn w:val="Normal"/>
    <w:qFormat/>
    <w:pPr>
      <w:pBdr>
        <w:top w:val="single" w:sz="4" w:space="1" w:color="000000"/>
        <w:left w:val="single" w:sz="4" w:space="4" w:color="000000"/>
        <w:bottom w:val="single" w:sz="4" w:space="1" w:color="000000"/>
        <w:right w:val="single" w:sz="4" w:space="4" w:color="000000"/>
      </w:pBdr>
      <w:jc w:val="both"/>
    </w:pPr>
    <w:rPr>
      <w:sz w:val="24"/>
    </w:rPr>
  </w:style>
  <w:style w:type="paragraph" w:styleId="Subtitle">
    <w:name w:val="Subtitle"/>
    <w:basedOn w:val="Normal"/>
    <w:qFormat/>
    <w:pPr>
      <w:keepLines/>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jc w:val="center"/>
    </w:pPr>
    <w:rPr>
      <w:b/>
      <w:i/>
      <w:color w:val="FF0000"/>
    </w:rPr>
  </w:style>
  <w:style w:type="paragraph" w:styleId="BodyTextIndent2">
    <w:name w:val="Body Text Indent 2"/>
    <w:basedOn w:val="Normal"/>
    <w:qFormat/>
    <w:pPr>
      <w:ind w:firstLine="720"/>
    </w:pPr>
    <w:rPr>
      <w:u w:val="single"/>
    </w:rPr>
  </w:style>
  <w:style w:type="paragraph" w:styleId="BodyTextIndent3">
    <w:name w:val="Body Text Indent 3"/>
    <w:basedOn w:val="Normal"/>
    <w:qFormat/>
    <w:pPr>
      <w:ind w:left="360" w:hanging="360"/>
    </w:pPr>
    <w:rPr>
      <w:u w:val="single"/>
    </w:rPr>
  </w:style>
  <w:style w:type="paragraph" w:styleId="BlockText">
    <w:name w:val="Block Text"/>
    <w:basedOn w:val="Normal"/>
    <w:qFormat/>
    <w:pPr>
      <w:ind w:left="810" w:right="1350" w:hanging="180"/>
    </w:pPr>
    <w:rPr>
      <w:rFonts w:ascii="Comic Sans MS" w:hAnsi="Comic Sans MS"/>
      <w:b/>
      <w:sz w:val="18"/>
    </w:rPr>
  </w:style>
  <w:style w:type="paragraph" w:styleId="BalloonText">
    <w:name w:val="Balloon Text"/>
    <w:basedOn w:val="Normal"/>
    <w:link w:val="BalloonTextChar"/>
    <w:qFormat/>
    <w:rsid w:val="00737455"/>
    <w:pPr/>
    <w:rPr>
      <w:rFonts w:ascii="Tahoma" w:hAnsi="Tahoma" w:cs="Tahoma"/>
      <w:sz w:val="16"/>
      <w:szCs w:val="16"/>
    </w:rPr>
  </w:style>
  <w:style w:type="paragraph" w:styleId="Annotationtext">
    <w:name w:val="annotation text"/>
    <w:basedOn w:val="Normal"/>
    <w:link w:val="CommentTextChar"/>
    <w:qFormat/>
    <w:rsid w:val="00473411"/>
    <w:pPr/>
    <w:rPr/>
  </w:style>
  <w:style w:type="paragraph" w:styleId="Annotationsubject">
    <w:name w:val="annotation subject"/>
    <w:basedOn w:val="Annotationtext"/>
    <w:next w:val="Annotationtext"/>
    <w:link w:val="CommentSubjectChar"/>
    <w:qFormat/>
    <w:rsid w:val="00473411"/>
    <w:pPr/>
    <w:rPr>
      <w:b/>
      <w:bCs/>
    </w:rPr>
  </w:style>
  <w:style w:type="paragraph" w:styleId="Footnote">
    <w:name w:val="Footnote Text"/>
    <w:basedOn w:val="Normal"/>
    <w:link w:val="FootnoteTextChar"/>
    <w:rsid w:val="00dd7d18"/>
    <w:pPr>
      <w:spacing w:before="0" w:after="240"/>
      <w:jc w:val="both"/>
    </w:pPr>
    <w:rPr>
      <w:sz w:val="24"/>
    </w:rPr>
  </w:style>
  <w:style w:type="paragraph" w:styleId="ListParagraph">
    <w:name w:val="List Paragraph"/>
    <w:basedOn w:val="Normal"/>
    <w:uiPriority w:val="34"/>
    <w:qFormat/>
    <w:rsid w:val="00e870eb"/>
    <w:pPr>
      <w:numPr>
        <w:ilvl w:val="0"/>
        <w:numId w:val="1"/>
      </w:numPr>
      <w:spacing w:before="0" w:after="120"/>
    </w:pPr>
    <w:rPr>
      <w:rFonts w:ascii="Arial" w:hAnsi="Arial" w:cs="Arial"/>
      <w:bCs/>
      <w:sz w:val="24"/>
      <w:szCs w:val="24"/>
    </w:rPr>
  </w:style>
  <w:style w:type="paragraph" w:styleId="Endnote">
    <w:name w:val="Endnote Text"/>
    <w:basedOn w:val="Normal"/>
    <w:link w:val="EndnoteTextChar"/>
    <w:rsid w:val="00d62607"/>
    <w:pPr/>
    <w:rPr/>
  </w:style>
  <w:style w:type="paragraph" w:styleId="TOCHeading">
    <w:name w:val="TOC Heading"/>
    <w:basedOn w:val="Heading1"/>
    <w:next w:val="Normal"/>
    <w:uiPriority w:val="39"/>
    <w:unhideWhenUsed/>
    <w:qFormat/>
    <w:rsid w:val="007b2bc6"/>
    <w:pPr>
      <w:keepLines/>
      <w:spacing w:lineRule="auto" w:line="259" w:before="240" w:after="0"/>
    </w:pPr>
    <w:rPr>
      <w:rFonts w:ascii="Calibri Light" w:hAnsi="Calibri Light" w:eastAsia="等线 Light" w:cs="Times New Roman" w:asciiTheme="majorHAnsi" w:cstheme="majorBidi" w:eastAsiaTheme="majorEastAsia" w:hAnsiTheme="majorHAnsi"/>
      <w:b w:val="false"/>
      <w:bCs w:val="false"/>
      <w:color w:val="2F5496" w:themeColor="accent1" w:themeShade="bf"/>
    </w:rPr>
  </w:style>
  <w:style w:type="paragraph" w:styleId="Contents1">
    <w:name w:val="TOC 1"/>
    <w:basedOn w:val="Normal"/>
    <w:next w:val="Normal"/>
    <w:autoRedefine/>
    <w:uiPriority w:val="39"/>
    <w:rsid w:val="007b2bc6"/>
    <w:pPr>
      <w:spacing w:before="0" w:after="100"/>
    </w:pPr>
    <w:rPr/>
  </w:style>
  <w:style w:type="paragraph" w:styleId="Contents2">
    <w:name w:val="TOC 2"/>
    <w:basedOn w:val="Normal"/>
    <w:next w:val="Normal"/>
    <w:autoRedefine/>
    <w:uiPriority w:val="39"/>
    <w:rsid w:val="007b2bc6"/>
    <w:pPr>
      <w:spacing w:before="0" w:after="100"/>
      <w:ind w:left="200" w:hanging="0"/>
    </w:pPr>
    <w:rPr/>
  </w:style>
  <w:style w:type="paragraph" w:styleId="Contents3">
    <w:name w:val="TOC 3"/>
    <w:basedOn w:val="Normal"/>
    <w:next w:val="Normal"/>
    <w:autoRedefine/>
    <w:uiPriority w:val="39"/>
    <w:rsid w:val="007b2bc6"/>
    <w:pPr>
      <w:spacing w:before="0" w:after="100"/>
      <w:ind w:left="400" w:hanging="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8834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epa.gov/lead"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F3F0-AADC-41D4-9ADA-DD8244FC6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Application>LibreOffice/7.1.8.1$Windows_X86_64 LibreOffice_project/e1f30c802c3269a1d052614453f260e49458c82c</Application>
  <AppVersion>15.0000</AppVersion>
  <Pages>11</Pages>
  <Words>3490</Words>
  <Characters>19322</Characters>
  <CharactersWithSpaces>22439</CharactersWithSpaces>
  <Paragraphs>403</Paragraphs>
  <Company>SWRCB</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2021-02-24T00:26:00Z</dcterms:created>
  <dc:creator>SWB - Regulatory Development Unit</dc:creator>
  <dc:description/>
  <cp:keywords>Consumer Consumer Consumer Consumer Consumer Confidence Report Small Water System Template</cp:keywords>
  <dc:language>en-US</dc:language>
  <cp:lastModifiedBy/>
  <cp:lastPrinted>2021-02-24T23:35:00Z</cp:lastPrinted>
  <dcterms:modified xsi:type="dcterms:W3CDTF">2022-08-23T21:13:54Z</dcterms:modified>
  <cp:revision>130</cp:revision>
  <dc:subject>CCR</dc:subject>
  <dc:title>CCR SWS Template - English</dc:title>
</cp:coreProperties>
</file>

<file path=docProps/custom.xml><?xml version="1.0" encoding="utf-8"?>
<Properties xmlns="http://schemas.openxmlformats.org/officeDocument/2006/custom-properties" xmlns:vt="http://schemas.openxmlformats.org/officeDocument/2006/docPropsVTypes"/>
</file>