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728" w:type="dxa"/>
        <w:tblLayout w:type="fixed"/>
        <w:tblLook w:val="04A0" w:firstRow="1" w:lastRow="0" w:firstColumn="1" w:lastColumn="0" w:noHBand="0" w:noVBand="1"/>
      </w:tblPr>
      <w:tblGrid>
        <w:gridCol w:w="1890"/>
        <w:gridCol w:w="5760"/>
      </w:tblGrid>
      <w:tr w:rsidR="009F06FA" w:rsidRPr="008D56CC" w14:paraId="2BD67BC4" w14:textId="77777777" w:rsidTr="009F06FA">
        <w:tc>
          <w:tcPr>
            <w:tcW w:w="1890" w:type="dxa"/>
            <w:tcBorders>
              <w:top w:val="nil"/>
              <w:left w:val="nil"/>
              <w:bottom w:val="nil"/>
              <w:right w:val="nil"/>
            </w:tcBorders>
          </w:tcPr>
          <w:p w14:paraId="2820072B" w14:textId="77777777" w:rsidR="000705C2" w:rsidRPr="008D56CC" w:rsidRDefault="000705C2" w:rsidP="00A54081">
            <w:pPr>
              <w:widowControl w:val="0"/>
              <w:spacing w:after="0"/>
              <w:jc w:val="center"/>
              <w:rPr>
                <w:rFonts w:asciiTheme="minorHAnsi" w:hAnsiTheme="minorHAnsi" w:cstheme="minorHAnsi"/>
                <w:b/>
                <w:bCs/>
                <w:color w:val="auto"/>
                <w:sz w:val="32"/>
                <w:szCs w:val="32"/>
              </w:rPr>
            </w:pPr>
            <w:r w:rsidRPr="008D56CC">
              <w:rPr>
                <w:rFonts w:asciiTheme="minorHAnsi" w:hAnsiTheme="minorHAnsi" w:cstheme="minorHAnsi"/>
                <w:b/>
                <w:bCs/>
                <w:noProof/>
                <w:color w:val="auto"/>
                <w:sz w:val="32"/>
                <w:szCs w:val="32"/>
              </w:rPr>
              <w:drawing>
                <wp:inline distT="0" distB="0" distL="0" distR="0" wp14:anchorId="69838276" wp14:editId="0CDFF276">
                  <wp:extent cx="1162050" cy="1276350"/>
                  <wp:effectExtent l="0" t="0" r="0" b="0"/>
                  <wp:docPr id="6" name="Picture 6" descr="City of Vacavil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ity of Vacaville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1276350"/>
                          </a:xfrm>
                          <a:prstGeom prst="rect">
                            <a:avLst/>
                          </a:prstGeom>
                          <a:noFill/>
                          <a:ln>
                            <a:noFill/>
                          </a:ln>
                        </pic:spPr>
                      </pic:pic>
                    </a:graphicData>
                  </a:graphic>
                </wp:inline>
              </w:drawing>
            </w:r>
          </w:p>
        </w:tc>
        <w:tc>
          <w:tcPr>
            <w:tcW w:w="5760" w:type="dxa"/>
            <w:tcBorders>
              <w:top w:val="nil"/>
              <w:left w:val="nil"/>
              <w:bottom w:val="nil"/>
              <w:right w:val="nil"/>
            </w:tcBorders>
          </w:tcPr>
          <w:p w14:paraId="6FBFCAFE" w14:textId="77777777" w:rsidR="009F06FA" w:rsidRPr="008D56CC" w:rsidRDefault="009F06FA" w:rsidP="009F06FA">
            <w:pPr>
              <w:widowControl w:val="0"/>
              <w:spacing w:after="0"/>
              <w:rPr>
                <w:rFonts w:asciiTheme="minorHAnsi" w:hAnsiTheme="minorHAnsi" w:cstheme="minorHAnsi"/>
                <w:b/>
                <w:bCs/>
                <w:color w:val="auto"/>
                <w:sz w:val="32"/>
                <w:szCs w:val="32"/>
              </w:rPr>
            </w:pPr>
          </w:p>
          <w:p w14:paraId="2BDB7254" w14:textId="77777777" w:rsidR="000705C2" w:rsidRPr="008D56CC" w:rsidRDefault="006C2EBE" w:rsidP="000705C2">
            <w:pPr>
              <w:widowControl w:val="0"/>
              <w:spacing w:after="0"/>
              <w:jc w:val="center"/>
              <w:rPr>
                <w:rFonts w:asciiTheme="minorHAnsi" w:hAnsiTheme="minorHAnsi" w:cstheme="minorHAnsi"/>
                <w:b/>
                <w:bCs/>
                <w:color w:val="auto"/>
                <w:sz w:val="32"/>
                <w:szCs w:val="32"/>
              </w:rPr>
            </w:pPr>
            <w:r w:rsidRPr="008D56CC">
              <w:rPr>
                <w:rFonts w:asciiTheme="minorHAnsi" w:hAnsiTheme="minorHAnsi" w:cstheme="minorHAnsi"/>
                <w:b/>
                <w:bCs/>
                <w:color w:val="auto"/>
                <w:sz w:val="32"/>
                <w:szCs w:val="32"/>
              </w:rPr>
              <w:t>EASTERLY WWTP PUBLIC WATER SYSTEM</w:t>
            </w:r>
          </w:p>
          <w:p w14:paraId="1CBDC454" w14:textId="5DAEF6C9" w:rsidR="009F06FA" w:rsidRPr="008D56CC" w:rsidRDefault="005410B5" w:rsidP="000705C2">
            <w:pPr>
              <w:widowControl w:val="0"/>
              <w:spacing w:after="0"/>
              <w:jc w:val="center"/>
              <w:rPr>
                <w:rFonts w:asciiTheme="minorHAnsi" w:hAnsiTheme="minorHAnsi" w:cstheme="minorHAnsi"/>
                <w:b/>
                <w:bCs/>
                <w:color w:val="auto"/>
                <w:sz w:val="32"/>
                <w:szCs w:val="32"/>
              </w:rPr>
            </w:pPr>
            <w:r w:rsidRPr="008D56CC">
              <w:rPr>
                <w:rFonts w:asciiTheme="minorHAnsi" w:hAnsiTheme="minorHAnsi" w:cstheme="minorHAnsi"/>
                <w:b/>
                <w:bCs/>
                <w:color w:val="auto"/>
                <w:sz w:val="32"/>
                <w:szCs w:val="32"/>
              </w:rPr>
              <w:t>2025</w:t>
            </w:r>
            <w:r w:rsidR="000705C2" w:rsidRPr="008D56CC">
              <w:rPr>
                <w:rFonts w:asciiTheme="minorHAnsi" w:hAnsiTheme="minorHAnsi" w:cstheme="minorHAnsi"/>
                <w:b/>
                <w:bCs/>
                <w:color w:val="auto"/>
                <w:sz w:val="32"/>
                <w:szCs w:val="32"/>
              </w:rPr>
              <w:t xml:space="preserve"> </w:t>
            </w:r>
          </w:p>
          <w:p w14:paraId="37218CC1" w14:textId="77777777" w:rsidR="000705C2" w:rsidRPr="008D56CC" w:rsidRDefault="000705C2" w:rsidP="000705C2">
            <w:pPr>
              <w:widowControl w:val="0"/>
              <w:spacing w:after="0"/>
              <w:jc w:val="center"/>
              <w:rPr>
                <w:rFonts w:asciiTheme="minorHAnsi" w:hAnsiTheme="minorHAnsi" w:cstheme="minorHAnsi"/>
                <w:b/>
                <w:bCs/>
                <w:color w:val="auto"/>
                <w:sz w:val="32"/>
                <w:szCs w:val="32"/>
              </w:rPr>
            </w:pPr>
            <w:r w:rsidRPr="008D56CC">
              <w:rPr>
                <w:rFonts w:asciiTheme="minorHAnsi" w:hAnsiTheme="minorHAnsi" w:cstheme="minorHAnsi"/>
                <w:b/>
                <w:bCs/>
                <w:color w:val="auto"/>
                <w:sz w:val="32"/>
                <w:szCs w:val="32"/>
              </w:rPr>
              <w:t>WATER QUALITY REPORT</w:t>
            </w:r>
          </w:p>
          <w:p w14:paraId="1D219178" w14:textId="77777777" w:rsidR="000705C2" w:rsidRPr="008D56CC" w:rsidRDefault="000705C2" w:rsidP="00A54081">
            <w:pPr>
              <w:widowControl w:val="0"/>
              <w:spacing w:after="0"/>
              <w:jc w:val="center"/>
              <w:rPr>
                <w:rFonts w:asciiTheme="minorHAnsi" w:hAnsiTheme="minorHAnsi" w:cstheme="minorHAnsi"/>
                <w:b/>
                <w:bCs/>
                <w:color w:val="auto"/>
                <w:sz w:val="32"/>
                <w:szCs w:val="32"/>
              </w:rPr>
            </w:pPr>
          </w:p>
        </w:tc>
      </w:tr>
    </w:tbl>
    <w:p w14:paraId="5E56D981" w14:textId="77777777" w:rsidR="00A54081" w:rsidRPr="008D56CC" w:rsidRDefault="00A54081" w:rsidP="008A5169">
      <w:pPr>
        <w:widowControl w:val="0"/>
        <w:spacing w:after="0"/>
        <w:rPr>
          <w:rFonts w:asciiTheme="minorHAnsi" w:hAnsiTheme="minorHAnsi" w:cstheme="minorHAnsi"/>
          <w:b/>
          <w:bCs/>
          <w:color w:val="auto"/>
          <w:sz w:val="20"/>
        </w:rPr>
      </w:pPr>
    </w:p>
    <w:p w14:paraId="44E318C2" w14:textId="77777777" w:rsidR="00BA0FC5" w:rsidRPr="008D56CC" w:rsidRDefault="00BA0FC5" w:rsidP="000E1A2C">
      <w:pPr>
        <w:widowControl w:val="0"/>
        <w:rPr>
          <w:rFonts w:asciiTheme="minorHAnsi" w:hAnsiTheme="minorHAnsi" w:cstheme="minorHAnsi"/>
          <w:b/>
          <w:bCs/>
          <w:color w:val="auto"/>
          <w:sz w:val="20"/>
        </w:rPr>
      </w:pPr>
      <w:r w:rsidRPr="008D56CC">
        <w:rPr>
          <w:rFonts w:asciiTheme="minorHAnsi" w:hAnsiTheme="minorHAnsi" w:cstheme="minorHAnsi"/>
          <w:b/>
          <w:bCs/>
          <w:color w:val="auto"/>
          <w:sz w:val="20"/>
        </w:rPr>
        <w:t>INTRODUCTION</w:t>
      </w:r>
      <w:r w:rsidR="00803EC3" w:rsidRPr="008D56CC">
        <w:rPr>
          <w:rFonts w:asciiTheme="minorHAnsi" w:hAnsiTheme="minorHAnsi" w:cstheme="minorHAnsi"/>
          <w:b/>
          <w:bCs/>
          <w:color w:val="auto"/>
          <w:sz w:val="20"/>
        </w:rPr>
        <w:t>:</w:t>
      </w:r>
    </w:p>
    <w:p w14:paraId="57399DB9" w14:textId="073C2CBB" w:rsidR="00BA0FC5" w:rsidRPr="008D56CC" w:rsidRDefault="000E1A2C" w:rsidP="00860CB3">
      <w:pPr>
        <w:widowControl w:val="0"/>
        <w:spacing w:after="0"/>
        <w:ind w:firstLine="720"/>
        <w:rPr>
          <w:rFonts w:asciiTheme="minorHAnsi" w:hAnsiTheme="minorHAnsi" w:cstheme="minorHAnsi"/>
          <w:color w:val="auto"/>
          <w:sz w:val="20"/>
        </w:rPr>
      </w:pPr>
      <w:r w:rsidRPr="008D56CC">
        <w:rPr>
          <w:rFonts w:asciiTheme="minorHAnsi" w:hAnsiTheme="minorHAnsi" w:cstheme="minorHAnsi"/>
          <w:bCs/>
          <w:color w:val="auto"/>
          <w:sz w:val="20"/>
        </w:rPr>
        <w:t xml:space="preserve">The Easterly Public Water System </w:t>
      </w:r>
      <w:r w:rsidR="00E81667">
        <w:rPr>
          <w:rFonts w:asciiTheme="minorHAnsi" w:hAnsiTheme="minorHAnsi" w:cstheme="minorHAnsi"/>
          <w:bCs/>
          <w:color w:val="auto"/>
          <w:sz w:val="20"/>
        </w:rPr>
        <w:t>is pleased to report that your drinking water is safe, reliable, and in compliance with all state and federal quality standards in 2025</w:t>
      </w:r>
      <w:r w:rsidRPr="008D56CC">
        <w:rPr>
          <w:rFonts w:asciiTheme="minorHAnsi" w:hAnsiTheme="minorHAnsi" w:cstheme="minorHAnsi"/>
          <w:color w:val="auto"/>
          <w:sz w:val="20"/>
        </w:rPr>
        <w:t>. These standa</w:t>
      </w:r>
      <w:r w:rsidR="00F717A2" w:rsidRPr="008D56CC">
        <w:rPr>
          <w:rFonts w:asciiTheme="minorHAnsi" w:hAnsiTheme="minorHAnsi" w:cstheme="minorHAnsi"/>
          <w:color w:val="auto"/>
          <w:sz w:val="20"/>
        </w:rPr>
        <w:t xml:space="preserve">rds are established by the U.S. </w:t>
      </w:r>
      <w:r w:rsidRPr="008D56CC">
        <w:rPr>
          <w:rFonts w:asciiTheme="minorHAnsi" w:hAnsiTheme="minorHAnsi" w:cstheme="minorHAnsi"/>
          <w:color w:val="auto"/>
          <w:sz w:val="20"/>
        </w:rPr>
        <w:t>Environmental Protection Agency (USEPA) and the California State Water Resou</w:t>
      </w:r>
      <w:r w:rsidR="00F717A2" w:rsidRPr="008D56CC">
        <w:rPr>
          <w:rFonts w:asciiTheme="minorHAnsi" w:hAnsiTheme="minorHAnsi" w:cstheme="minorHAnsi"/>
          <w:color w:val="auto"/>
          <w:sz w:val="20"/>
        </w:rPr>
        <w:t>rces Control Board (SWRCB).  In</w:t>
      </w:r>
      <w:r w:rsidR="00860CB3" w:rsidRPr="008D56CC">
        <w:rPr>
          <w:rFonts w:asciiTheme="minorHAnsi" w:hAnsiTheme="minorHAnsi" w:cstheme="minorHAnsi"/>
          <w:color w:val="auto"/>
          <w:sz w:val="20"/>
        </w:rPr>
        <w:t xml:space="preserve"> 202</w:t>
      </w:r>
      <w:r w:rsidR="005410B5" w:rsidRPr="008D56CC">
        <w:rPr>
          <w:rFonts w:asciiTheme="minorHAnsi" w:hAnsiTheme="minorHAnsi" w:cstheme="minorHAnsi"/>
          <w:color w:val="auto"/>
          <w:sz w:val="20"/>
        </w:rPr>
        <w:t>5</w:t>
      </w:r>
      <w:r w:rsidRPr="008D56CC">
        <w:rPr>
          <w:rFonts w:asciiTheme="minorHAnsi" w:hAnsiTheme="minorHAnsi" w:cstheme="minorHAnsi"/>
          <w:color w:val="auto"/>
          <w:sz w:val="20"/>
        </w:rPr>
        <w:t xml:space="preserve"> </w:t>
      </w:r>
      <w:r w:rsidR="00F717A2" w:rsidRPr="008D56CC">
        <w:rPr>
          <w:rFonts w:asciiTheme="minorHAnsi" w:hAnsiTheme="minorHAnsi" w:cstheme="minorHAnsi"/>
          <w:color w:val="auto"/>
          <w:sz w:val="20"/>
        </w:rPr>
        <w:t>approximately</w:t>
      </w:r>
      <w:r w:rsidRPr="008D56CC">
        <w:rPr>
          <w:rFonts w:asciiTheme="minorHAnsi" w:hAnsiTheme="minorHAnsi" w:cstheme="minorHAnsi"/>
          <w:b/>
          <w:color w:val="auto"/>
          <w:sz w:val="20"/>
        </w:rPr>
        <w:t xml:space="preserve"> </w:t>
      </w:r>
      <w:r w:rsidR="00B026F7" w:rsidRPr="008D56CC">
        <w:rPr>
          <w:rFonts w:asciiTheme="minorHAnsi" w:hAnsiTheme="minorHAnsi" w:cstheme="minorHAnsi"/>
          <w:color w:val="auto"/>
          <w:sz w:val="20"/>
        </w:rPr>
        <w:t>7.</w:t>
      </w:r>
      <w:r w:rsidR="005410B5" w:rsidRPr="008D56CC">
        <w:rPr>
          <w:rFonts w:asciiTheme="minorHAnsi" w:hAnsiTheme="minorHAnsi" w:cstheme="minorHAnsi"/>
          <w:color w:val="auto"/>
          <w:sz w:val="20"/>
        </w:rPr>
        <w:t>4</w:t>
      </w:r>
      <w:r w:rsidR="00F717A2" w:rsidRPr="008D56CC">
        <w:rPr>
          <w:rFonts w:asciiTheme="minorHAnsi" w:hAnsiTheme="minorHAnsi" w:cstheme="minorHAnsi"/>
          <w:color w:val="auto"/>
          <w:sz w:val="20"/>
        </w:rPr>
        <w:t xml:space="preserve"> million</w:t>
      </w:r>
      <w:r w:rsidR="00B63233" w:rsidRPr="008D56CC">
        <w:rPr>
          <w:rFonts w:asciiTheme="minorHAnsi" w:hAnsiTheme="minorHAnsi" w:cstheme="minorHAnsi"/>
          <w:color w:val="auto"/>
          <w:sz w:val="20"/>
        </w:rPr>
        <w:t xml:space="preserve"> </w:t>
      </w:r>
      <w:r w:rsidRPr="008D56CC">
        <w:rPr>
          <w:rFonts w:asciiTheme="minorHAnsi" w:hAnsiTheme="minorHAnsi" w:cstheme="minorHAnsi"/>
          <w:color w:val="auto"/>
          <w:sz w:val="20"/>
        </w:rPr>
        <w:t xml:space="preserve">gallons of </w:t>
      </w:r>
      <w:r w:rsidR="00212A79" w:rsidRPr="008D56CC">
        <w:rPr>
          <w:rFonts w:asciiTheme="minorHAnsi" w:hAnsiTheme="minorHAnsi" w:cstheme="minorHAnsi"/>
          <w:color w:val="auto"/>
          <w:sz w:val="20"/>
        </w:rPr>
        <w:t>high-quality</w:t>
      </w:r>
      <w:r w:rsidRPr="008D56CC">
        <w:rPr>
          <w:rFonts w:asciiTheme="minorHAnsi" w:hAnsiTheme="minorHAnsi" w:cstheme="minorHAnsi"/>
          <w:color w:val="auto"/>
          <w:sz w:val="20"/>
        </w:rPr>
        <w:t xml:space="preserve"> drinking water</w:t>
      </w:r>
      <w:r w:rsidR="00B63233" w:rsidRPr="008D56CC">
        <w:rPr>
          <w:rFonts w:asciiTheme="minorHAnsi" w:hAnsiTheme="minorHAnsi" w:cstheme="minorHAnsi"/>
          <w:color w:val="auto"/>
          <w:sz w:val="20"/>
        </w:rPr>
        <w:t xml:space="preserve"> </w:t>
      </w:r>
      <w:r w:rsidR="00212A79" w:rsidRPr="008D56CC">
        <w:rPr>
          <w:rFonts w:asciiTheme="minorHAnsi" w:hAnsiTheme="minorHAnsi" w:cstheme="minorHAnsi"/>
          <w:color w:val="auto"/>
          <w:sz w:val="20"/>
        </w:rPr>
        <w:t>were</w:t>
      </w:r>
      <w:r w:rsidR="00B63233" w:rsidRPr="008D56CC">
        <w:rPr>
          <w:rFonts w:asciiTheme="minorHAnsi" w:hAnsiTheme="minorHAnsi" w:cstheme="minorHAnsi"/>
          <w:color w:val="auto"/>
          <w:sz w:val="20"/>
        </w:rPr>
        <w:t xml:space="preserve"> distributed to the EWWTP facility</w:t>
      </w:r>
      <w:r w:rsidRPr="008D56CC">
        <w:rPr>
          <w:rFonts w:asciiTheme="minorHAnsi" w:hAnsiTheme="minorHAnsi" w:cstheme="minorHAnsi"/>
          <w:color w:val="auto"/>
          <w:sz w:val="20"/>
        </w:rPr>
        <w:t xml:space="preserve">. </w:t>
      </w:r>
      <w:r w:rsidR="00B63233" w:rsidRPr="008D56CC">
        <w:rPr>
          <w:rFonts w:asciiTheme="minorHAnsi" w:hAnsiTheme="minorHAnsi" w:cstheme="minorHAnsi"/>
          <w:color w:val="auto"/>
          <w:sz w:val="20"/>
        </w:rPr>
        <w:t xml:space="preserve"> </w:t>
      </w:r>
      <w:r w:rsidR="00F717A2" w:rsidRPr="008D56CC">
        <w:rPr>
          <w:rFonts w:asciiTheme="minorHAnsi" w:hAnsiTheme="minorHAnsi" w:cstheme="minorHAnsi"/>
          <w:color w:val="auto"/>
          <w:sz w:val="20"/>
        </w:rPr>
        <w:t xml:space="preserve">This </w:t>
      </w:r>
      <w:r w:rsidRPr="008D56CC">
        <w:rPr>
          <w:rFonts w:asciiTheme="minorHAnsi" w:hAnsiTheme="minorHAnsi" w:cstheme="minorHAnsi"/>
          <w:color w:val="auto"/>
          <w:sz w:val="20"/>
        </w:rPr>
        <w:t>water was subjected to extensive testing, not only for regu</w:t>
      </w:r>
      <w:r w:rsidR="00F717A2" w:rsidRPr="008D56CC">
        <w:rPr>
          <w:rFonts w:asciiTheme="minorHAnsi" w:hAnsiTheme="minorHAnsi" w:cstheme="minorHAnsi"/>
          <w:color w:val="auto"/>
          <w:sz w:val="20"/>
        </w:rPr>
        <w:t>lated contaminants, but for some</w:t>
      </w:r>
      <w:r w:rsidRPr="008D56CC">
        <w:rPr>
          <w:rFonts w:asciiTheme="minorHAnsi" w:hAnsiTheme="minorHAnsi" w:cstheme="minorHAnsi"/>
          <w:color w:val="auto"/>
          <w:sz w:val="20"/>
        </w:rPr>
        <w:t xml:space="preserve"> </w:t>
      </w:r>
      <w:r w:rsidR="00F717A2" w:rsidRPr="008D56CC">
        <w:rPr>
          <w:rFonts w:asciiTheme="minorHAnsi" w:hAnsiTheme="minorHAnsi" w:cstheme="minorHAnsi"/>
          <w:color w:val="auto"/>
          <w:sz w:val="20"/>
        </w:rPr>
        <w:t xml:space="preserve">non-regulated </w:t>
      </w:r>
      <w:r w:rsidRPr="008D56CC">
        <w:rPr>
          <w:rFonts w:asciiTheme="minorHAnsi" w:hAnsiTheme="minorHAnsi" w:cstheme="minorHAnsi"/>
          <w:color w:val="auto"/>
          <w:sz w:val="20"/>
        </w:rPr>
        <w:t>chemical properties as well.</w:t>
      </w:r>
      <w:r w:rsidR="00F717A2" w:rsidRPr="008D56CC">
        <w:rPr>
          <w:rFonts w:asciiTheme="minorHAnsi" w:hAnsiTheme="minorHAnsi" w:cstheme="minorHAnsi"/>
          <w:color w:val="auto"/>
          <w:sz w:val="20"/>
        </w:rPr>
        <w:t xml:space="preserve">   </w:t>
      </w:r>
      <w:r w:rsidRPr="008D56CC">
        <w:rPr>
          <w:rFonts w:asciiTheme="minorHAnsi" w:hAnsiTheme="minorHAnsi" w:cstheme="minorHAnsi"/>
          <w:color w:val="auto"/>
          <w:sz w:val="20"/>
        </w:rPr>
        <w:t xml:space="preserve"> </w:t>
      </w:r>
      <w:r w:rsidR="00250FD2" w:rsidRPr="00250FD2">
        <w:rPr>
          <w:rFonts w:asciiTheme="minorHAnsi" w:hAnsiTheme="minorHAnsi" w:cstheme="minorHAnsi"/>
          <w:color w:val="auto"/>
          <w:sz w:val="20"/>
        </w:rPr>
        <w:t>Water quality testing included over 174 analyses of raw and treated water in 2025, contributing to a total of more than 691 analyses completed since 2024.</w:t>
      </w:r>
    </w:p>
    <w:p w14:paraId="5864947A" w14:textId="77777777" w:rsidR="008A5169" w:rsidRPr="008D56CC" w:rsidRDefault="008A5169" w:rsidP="008A5169">
      <w:pPr>
        <w:widowControl w:val="0"/>
        <w:spacing w:after="0"/>
        <w:ind w:firstLine="720"/>
        <w:rPr>
          <w:rFonts w:asciiTheme="minorHAnsi" w:hAnsiTheme="minorHAnsi" w:cstheme="minorHAnsi"/>
          <w:color w:val="auto"/>
          <w:sz w:val="12"/>
          <w:szCs w:val="12"/>
        </w:rPr>
      </w:pPr>
    </w:p>
    <w:p w14:paraId="25A0F718" w14:textId="08DCC56D" w:rsidR="000E1A2C" w:rsidRPr="008D56CC" w:rsidRDefault="000E1A2C" w:rsidP="008A5169">
      <w:pPr>
        <w:widowControl w:val="0"/>
        <w:spacing w:after="0"/>
        <w:ind w:firstLine="720"/>
        <w:rPr>
          <w:rFonts w:asciiTheme="minorHAnsi" w:hAnsiTheme="minorHAnsi" w:cstheme="minorHAnsi"/>
          <w:color w:val="auto"/>
          <w:sz w:val="20"/>
        </w:rPr>
      </w:pPr>
      <w:r w:rsidRPr="008D56CC">
        <w:rPr>
          <w:rFonts w:asciiTheme="minorHAnsi" w:hAnsiTheme="minorHAnsi" w:cstheme="minorHAnsi"/>
          <w:color w:val="auto"/>
          <w:sz w:val="20"/>
        </w:rPr>
        <w:t>Drinking water, including bottled water, may reasonably be expected to contain</w:t>
      </w:r>
      <w:r w:rsidR="00BA0FC5" w:rsidRPr="008D56CC">
        <w:rPr>
          <w:rFonts w:asciiTheme="minorHAnsi" w:hAnsiTheme="minorHAnsi" w:cstheme="minorHAnsi"/>
          <w:color w:val="auto"/>
          <w:sz w:val="20"/>
        </w:rPr>
        <w:t xml:space="preserve"> at least small amounts of some </w:t>
      </w:r>
      <w:r w:rsidRPr="008D56CC">
        <w:rPr>
          <w:rFonts w:asciiTheme="minorHAnsi" w:hAnsiTheme="minorHAnsi" w:cstheme="minorHAnsi"/>
          <w:color w:val="auto"/>
          <w:sz w:val="20"/>
        </w:rPr>
        <w:t>contaminants. The presence of contaminants does</w:t>
      </w:r>
      <w:r w:rsidR="00441062" w:rsidRPr="008D56CC">
        <w:rPr>
          <w:rFonts w:asciiTheme="minorHAnsi" w:hAnsiTheme="minorHAnsi" w:cstheme="minorHAnsi"/>
          <w:color w:val="auto"/>
          <w:sz w:val="20"/>
        </w:rPr>
        <w:t xml:space="preserve"> not</w:t>
      </w:r>
      <w:r w:rsidRPr="008D56CC">
        <w:rPr>
          <w:rFonts w:asciiTheme="minorHAnsi" w:hAnsiTheme="minorHAnsi" w:cstheme="minorHAnsi"/>
          <w:color w:val="auto"/>
          <w:sz w:val="20"/>
        </w:rPr>
        <w:t xml:space="preserve"> necessarily indicate that water poses a health risk. </w:t>
      </w:r>
      <w:r w:rsidR="00F717A2" w:rsidRPr="008D56CC">
        <w:rPr>
          <w:rFonts w:asciiTheme="minorHAnsi" w:hAnsiTheme="minorHAnsi" w:cstheme="minorHAnsi"/>
          <w:color w:val="auto"/>
          <w:sz w:val="20"/>
        </w:rPr>
        <w:t xml:space="preserve"> </w:t>
      </w:r>
      <w:r w:rsidR="00BA0FC5" w:rsidRPr="008D56CC">
        <w:rPr>
          <w:rFonts w:asciiTheme="minorHAnsi" w:hAnsiTheme="minorHAnsi" w:cstheme="minorHAnsi"/>
          <w:color w:val="auto"/>
          <w:sz w:val="20"/>
        </w:rPr>
        <w:t xml:space="preserve">More </w:t>
      </w:r>
      <w:r w:rsidRPr="008D56CC">
        <w:rPr>
          <w:rFonts w:asciiTheme="minorHAnsi" w:hAnsiTheme="minorHAnsi" w:cstheme="minorHAnsi"/>
          <w:color w:val="auto"/>
          <w:sz w:val="20"/>
        </w:rPr>
        <w:t>information about contaminants and potential health effects can be obtained by ca</w:t>
      </w:r>
      <w:r w:rsidR="00BA0FC5" w:rsidRPr="008D56CC">
        <w:rPr>
          <w:rFonts w:asciiTheme="minorHAnsi" w:hAnsiTheme="minorHAnsi" w:cstheme="minorHAnsi"/>
          <w:color w:val="auto"/>
          <w:sz w:val="20"/>
        </w:rPr>
        <w:t xml:space="preserve">lling the USEPA’s Safe Drinking </w:t>
      </w:r>
      <w:r w:rsidRPr="008D56CC">
        <w:rPr>
          <w:rFonts w:asciiTheme="minorHAnsi" w:hAnsiTheme="minorHAnsi" w:cstheme="minorHAnsi"/>
          <w:color w:val="auto"/>
          <w:sz w:val="20"/>
        </w:rPr>
        <w:t xml:space="preserve">Water Hotline at (800) 426-4791. </w:t>
      </w:r>
      <w:r w:rsidR="00BA0FC5" w:rsidRPr="008D56CC">
        <w:rPr>
          <w:rFonts w:asciiTheme="minorHAnsi" w:hAnsiTheme="minorHAnsi" w:cstheme="minorHAnsi"/>
          <w:color w:val="auto"/>
          <w:sz w:val="20"/>
        </w:rPr>
        <w:t xml:space="preserve"> </w:t>
      </w:r>
      <w:r w:rsidRPr="008D56CC">
        <w:rPr>
          <w:rFonts w:asciiTheme="minorHAnsi" w:hAnsiTheme="minorHAnsi" w:cstheme="minorHAnsi"/>
          <w:color w:val="auto"/>
          <w:sz w:val="20"/>
        </w:rPr>
        <w:t>If you have further questions, please conta</w:t>
      </w:r>
      <w:r w:rsidR="00BA0FC5" w:rsidRPr="008D56CC">
        <w:rPr>
          <w:rFonts w:asciiTheme="minorHAnsi" w:hAnsiTheme="minorHAnsi" w:cstheme="minorHAnsi"/>
          <w:color w:val="auto"/>
          <w:sz w:val="20"/>
        </w:rPr>
        <w:t xml:space="preserve">ct the Water Quality Laboratory </w:t>
      </w:r>
      <w:r w:rsidRPr="008D56CC">
        <w:rPr>
          <w:rFonts w:asciiTheme="minorHAnsi" w:hAnsiTheme="minorHAnsi" w:cstheme="minorHAnsi"/>
          <w:color w:val="auto"/>
          <w:sz w:val="20"/>
        </w:rPr>
        <w:t>Supervisor, Michael Torres, by phone at (707) 469-6439 or by email at Michael.Torres@cityofvacaville.</w:t>
      </w:r>
      <w:r w:rsidR="005410B5" w:rsidRPr="008D56CC">
        <w:rPr>
          <w:rFonts w:asciiTheme="minorHAnsi" w:hAnsiTheme="minorHAnsi" w:cstheme="minorHAnsi"/>
          <w:color w:val="auto"/>
          <w:sz w:val="20"/>
        </w:rPr>
        <w:t>gov</w:t>
      </w:r>
      <w:r w:rsidRPr="008D56CC">
        <w:rPr>
          <w:rFonts w:asciiTheme="minorHAnsi" w:hAnsiTheme="minorHAnsi" w:cstheme="minorHAnsi"/>
          <w:color w:val="auto"/>
          <w:sz w:val="20"/>
        </w:rPr>
        <w:t>.  You may also attend City Council Meetings to voice your opinions</w:t>
      </w:r>
      <w:r w:rsidR="00806566">
        <w:rPr>
          <w:rFonts w:asciiTheme="minorHAnsi" w:hAnsiTheme="minorHAnsi" w:cstheme="minorHAnsi"/>
          <w:color w:val="auto"/>
          <w:sz w:val="20"/>
        </w:rPr>
        <w:t xml:space="preserve"> - </w:t>
      </w:r>
      <w:r w:rsidRPr="008D56CC">
        <w:rPr>
          <w:rFonts w:asciiTheme="minorHAnsi" w:hAnsiTheme="minorHAnsi" w:cstheme="minorHAnsi"/>
          <w:color w:val="auto"/>
          <w:sz w:val="20"/>
        </w:rPr>
        <w:t>please check the C</w:t>
      </w:r>
      <w:r w:rsidR="00DE77CA" w:rsidRPr="008D56CC">
        <w:rPr>
          <w:rFonts w:asciiTheme="minorHAnsi" w:hAnsiTheme="minorHAnsi" w:cstheme="minorHAnsi"/>
          <w:color w:val="auto"/>
          <w:sz w:val="20"/>
        </w:rPr>
        <w:t xml:space="preserve">ity website for meeting notices </w:t>
      </w:r>
      <w:r w:rsidRPr="008D56CC">
        <w:rPr>
          <w:rFonts w:asciiTheme="minorHAnsi" w:hAnsiTheme="minorHAnsi" w:cstheme="minorHAnsi"/>
          <w:color w:val="auto"/>
          <w:sz w:val="20"/>
        </w:rPr>
        <w:t>to see if any water related topics are on the agenda.</w:t>
      </w:r>
    </w:p>
    <w:p w14:paraId="2B342757" w14:textId="77777777" w:rsidR="00D51D95" w:rsidRPr="008D56CC" w:rsidRDefault="00D51D95" w:rsidP="008A5169">
      <w:pPr>
        <w:widowControl w:val="0"/>
        <w:spacing w:after="0"/>
        <w:ind w:firstLine="720"/>
        <w:rPr>
          <w:rFonts w:asciiTheme="minorHAnsi" w:hAnsiTheme="minorHAnsi" w:cstheme="minorHAnsi"/>
          <w:color w:val="auto"/>
          <w:sz w:val="20"/>
        </w:rPr>
      </w:pPr>
    </w:p>
    <w:tbl>
      <w:tblPr>
        <w:tblStyle w:val="TableGrid"/>
        <w:tblW w:w="0" w:type="auto"/>
        <w:tblLook w:val="04A0" w:firstRow="1" w:lastRow="0" w:firstColumn="1" w:lastColumn="0" w:noHBand="0" w:noVBand="1"/>
      </w:tblPr>
      <w:tblGrid>
        <w:gridCol w:w="11078"/>
      </w:tblGrid>
      <w:tr w:rsidR="00D51D95" w:rsidRPr="008D56CC" w14:paraId="1F7C35D2" w14:textId="77777777" w:rsidTr="00D51D95">
        <w:tc>
          <w:tcPr>
            <w:tcW w:w="11304" w:type="dxa"/>
          </w:tcPr>
          <w:p w14:paraId="74E38F16" w14:textId="6FA7396B" w:rsidR="0058481F" w:rsidRPr="0058481F" w:rsidRDefault="00D51D95" w:rsidP="0058481F">
            <w:pPr>
              <w:widowControl w:val="0"/>
              <w:spacing w:after="0" w:line="240" w:lineRule="auto"/>
              <w:jc w:val="center"/>
              <w:rPr>
                <w:rFonts w:asciiTheme="minorHAnsi" w:hAnsiTheme="minorHAnsi" w:cstheme="minorHAnsi"/>
                <w:bCs/>
                <w:i/>
                <w:color w:val="auto"/>
                <w:kern w:val="20"/>
                <w:sz w:val="32"/>
                <w:szCs w:val="32"/>
              </w:rPr>
            </w:pPr>
            <w:r w:rsidRPr="0058481F">
              <w:rPr>
                <w:rFonts w:asciiTheme="minorHAnsi" w:hAnsiTheme="minorHAnsi" w:cstheme="minorHAnsi"/>
                <w:bCs/>
                <w:i/>
                <w:color w:val="auto"/>
                <w:kern w:val="20"/>
                <w:sz w:val="32"/>
                <w:szCs w:val="32"/>
              </w:rPr>
              <w:t>Este informe contiene información muy importante sobre su agua para beber.</w:t>
            </w:r>
          </w:p>
          <w:p w14:paraId="54386AE4" w14:textId="77777777" w:rsidR="0058481F" w:rsidRPr="0058481F" w:rsidRDefault="00D51D95" w:rsidP="0058481F">
            <w:pPr>
              <w:widowControl w:val="0"/>
              <w:spacing w:after="0" w:line="240" w:lineRule="auto"/>
              <w:jc w:val="center"/>
              <w:rPr>
                <w:rFonts w:asciiTheme="minorHAnsi" w:hAnsiTheme="minorHAnsi" w:cstheme="minorHAnsi"/>
                <w:bCs/>
                <w:i/>
                <w:color w:val="auto"/>
                <w:kern w:val="20"/>
                <w:sz w:val="32"/>
                <w:szCs w:val="32"/>
              </w:rPr>
            </w:pPr>
            <w:r w:rsidRPr="0058481F">
              <w:rPr>
                <w:rFonts w:asciiTheme="minorHAnsi" w:hAnsiTheme="minorHAnsi" w:cstheme="minorHAnsi"/>
                <w:bCs/>
                <w:i/>
                <w:color w:val="auto"/>
                <w:kern w:val="20"/>
                <w:sz w:val="32"/>
                <w:szCs w:val="32"/>
              </w:rPr>
              <w:t>Favor de comunicarse</w:t>
            </w:r>
            <w:r w:rsidR="00DE5838" w:rsidRPr="0058481F">
              <w:rPr>
                <w:rFonts w:asciiTheme="minorHAnsi" w:hAnsiTheme="minorHAnsi" w:cstheme="minorHAnsi"/>
                <w:bCs/>
                <w:i/>
                <w:color w:val="auto"/>
                <w:kern w:val="20"/>
                <w:sz w:val="32"/>
                <w:szCs w:val="32"/>
              </w:rPr>
              <w:t xml:space="preserve"> con</w:t>
            </w:r>
            <w:r w:rsidRPr="0058481F">
              <w:rPr>
                <w:rFonts w:asciiTheme="minorHAnsi" w:hAnsiTheme="minorHAnsi" w:cstheme="minorHAnsi"/>
                <w:bCs/>
                <w:i/>
                <w:color w:val="auto"/>
                <w:kern w:val="20"/>
                <w:sz w:val="32"/>
                <w:szCs w:val="32"/>
              </w:rPr>
              <w:t xml:space="preserve"> City of Vacaville Water Quality Laboratory </w:t>
            </w:r>
            <w:r w:rsidR="00DE5838" w:rsidRPr="0058481F">
              <w:rPr>
                <w:rFonts w:asciiTheme="minorHAnsi" w:hAnsiTheme="minorHAnsi" w:cstheme="minorHAnsi"/>
                <w:bCs/>
                <w:i/>
                <w:color w:val="auto"/>
                <w:kern w:val="20"/>
                <w:sz w:val="32"/>
                <w:szCs w:val="32"/>
              </w:rPr>
              <w:t>al</w:t>
            </w:r>
          </w:p>
          <w:p w14:paraId="20E8D691" w14:textId="7D52C0FE" w:rsidR="00D51D95" w:rsidRPr="0058481F" w:rsidRDefault="00D51D95" w:rsidP="0058481F">
            <w:pPr>
              <w:widowControl w:val="0"/>
              <w:spacing w:after="0" w:line="240" w:lineRule="auto"/>
              <w:jc w:val="center"/>
              <w:rPr>
                <w:rFonts w:asciiTheme="minorHAnsi" w:hAnsiTheme="minorHAnsi" w:cstheme="minorHAnsi"/>
                <w:bCs/>
                <w:i/>
                <w:color w:val="auto"/>
                <w:kern w:val="20"/>
                <w:sz w:val="32"/>
                <w:szCs w:val="32"/>
              </w:rPr>
            </w:pPr>
            <w:r w:rsidRPr="0058481F">
              <w:rPr>
                <w:rFonts w:asciiTheme="minorHAnsi" w:hAnsiTheme="minorHAnsi" w:cstheme="minorHAnsi"/>
                <w:bCs/>
                <w:i/>
                <w:color w:val="auto"/>
                <w:kern w:val="20"/>
                <w:sz w:val="32"/>
                <w:szCs w:val="32"/>
              </w:rPr>
              <w:t>(707) 469-6400 para asistirlo en español.</w:t>
            </w:r>
          </w:p>
        </w:tc>
      </w:tr>
    </w:tbl>
    <w:p w14:paraId="7B297527" w14:textId="77777777" w:rsidR="00803EC3" w:rsidRPr="008D56CC" w:rsidRDefault="00803EC3" w:rsidP="00D51D95">
      <w:pPr>
        <w:widowControl w:val="0"/>
        <w:spacing w:after="0"/>
        <w:rPr>
          <w:rFonts w:asciiTheme="minorHAnsi" w:hAnsiTheme="minorHAnsi" w:cstheme="minorHAnsi"/>
          <w:color w:val="auto"/>
          <w:sz w:val="20"/>
        </w:rPr>
      </w:pPr>
    </w:p>
    <w:p w14:paraId="00805E65" w14:textId="77777777" w:rsidR="00F072C0" w:rsidRPr="008D56CC" w:rsidRDefault="003E3EA5" w:rsidP="008A5169">
      <w:pPr>
        <w:autoSpaceDE w:val="0"/>
        <w:autoSpaceDN w:val="0"/>
        <w:adjustRightInd w:val="0"/>
        <w:spacing w:after="0" w:line="240" w:lineRule="auto"/>
        <w:rPr>
          <w:rFonts w:asciiTheme="minorHAnsi" w:eastAsiaTheme="minorHAnsi" w:hAnsiTheme="minorHAnsi" w:cstheme="minorHAnsi"/>
          <w:b/>
          <w:bCs/>
          <w:color w:val="auto"/>
          <w:kern w:val="0"/>
          <w:sz w:val="20"/>
        </w:rPr>
      </w:pPr>
      <w:r w:rsidRPr="008D56CC">
        <w:rPr>
          <w:rFonts w:asciiTheme="minorHAnsi" w:eastAsiaTheme="minorHAnsi" w:hAnsiTheme="minorHAnsi" w:cstheme="minorHAnsi"/>
          <w:b/>
          <w:bCs/>
          <w:color w:val="auto"/>
          <w:kern w:val="0"/>
          <w:sz w:val="20"/>
        </w:rPr>
        <w:t xml:space="preserve">SOURCES OF WATER &amp; </w:t>
      </w:r>
      <w:r w:rsidR="00803EC3" w:rsidRPr="008D56CC">
        <w:rPr>
          <w:rFonts w:asciiTheme="minorHAnsi" w:eastAsiaTheme="minorHAnsi" w:hAnsiTheme="minorHAnsi" w:cstheme="minorHAnsi"/>
          <w:b/>
          <w:bCs/>
          <w:color w:val="auto"/>
          <w:kern w:val="0"/>
          <w:sz w:val="20"/>
        </w:rPr>
        <w:t xml:space="preserve">SYSTEM </w:t>
      </w:r>
      <w:r w:rsidR="008A5169" w:rsidRPr="008D56CC">
        <w:rPr>
          <w:rFonts w:asciiTheme="minorHAnsi" w:eastAsiaTheme="minorHAnsi" w:hAnsiTheme="minorHAnsi" w:cstheme="minorHAnsi"/>
          <w:b/>
          <w:bCs/>
          <w:color w:val="auto"/>
          <w:kern w:val="0"/>
          <w:sz w:val="20"/>
        </w:rPr>
        <w:t>DESCRIPTION:</w:t>
      </w:r>
    </w:p>
    <w:p w14:paraId="57B1FAAB" w14:textId="77777777" w:rsidR="00F072C0" w:rsidRPr="008D56CC" w:rsidRDefault="00F072C0" w:rsidP="00F072C0">
      <w:pPr>
        <w:autoSpaceDE w:val="0"/>
        <w:autoSpaceDN w:val="0"/>
        <w:adjustRightInd w:val="0"/>
        <w:spacing w:after="0" w:line="240" w:lineRule="auto"/>
        <w:rPr>
          <w:rFonts w:asciiTheme="minorHAnsi" w:eastAsiaTheme="minorHAnsi" w:hAnsiTheme="minorHAnsi" w:cstheme="minorHAnsi"/>
          <w:b/>
          <w:bCs/>
          <w:color w:val="auto"/>
          <w:kern w:val="0"/>
          <w:sz w:val="20"/>
        </w:rPr>
      </w:pPr>
    </w:p>
    <w:p w14:paraId="61EA51E1" w14:textId="77777777" w:rsidR="006A1A21" w:rsidRPr="008D56CC" w:rsidRDefault="00F072C0" w:rsidP="006A1A21">
      <w:pPr>
        <w:autoSpaceDE w:val="0"/>
        <w:autoSpaceDN w:val="0"/>
        <w:adjustRightInd w:val="0"/>
        <w:spacing w:after="0" w:line="240" w:lineRule="auto"/>
        <w:ind w:firstLine="720"/>
        <w:rPr>
          <w:rFonts w:asciiTheme="minorHAnsi" w:eastAsiaTheme="minorHAnsi" w:hAnsiTheme="minorHAnsi" w:cstheme="minorHAnsi"/>
          <w:color w:val="auto"/>
          <w:kern w:val="0"/>
          <w:sz w:val="20"/>
        </w:rPr>
      </w:pPr>
      <w:r w:rsidRPr="008D56CC">
        <w:rPr>
          <w:rFonts w:asciiTheme="minorHAnsi" w:eastAsiaTheme="minorHAnsi" w:hAnsiTheme="minorHAnsi" w:cstheme="minorHAnsi"/>
          <w:color w:val="auto"/>
          <w:kern w:val="0"/>
          <w:sz w:val="20"/>
        </w:rPr>
        <w:t>The</w:t>
      </w:r>
      <w:r w:rsidR="003E3F19" w:rsidRPr="008D56CC">
        <w:rPr>
          <w:rFonts w:asciiTheme="minorHAnsi" w:eastAsiaTheme="minorHAnsi" w:hAnsiTheme="minorHAnsi" w:cstheme="minorHAnsi"/>
          <w:color w:val="auto"/>
          <w:kern w:val="0"/>
          <w:sz w:val="20"/>
        </w:rPr>
        <w:t xml:space="preserve"> Easterly WWTP PWS is comprised of two w</w:t>
      </w:r>
      <w:r w:rsidRPr="008D56CC">
        <w:rPr>
          <w:rFonts w:asciiTheme="minorHAnsi" w:eastAsiaTheme="minorHAnsi" w:hAnsiTheme="minorHAnsi" w:cstheme="minorHAnsi"/>
          <w:color w:val="auto"/>
          <w:kern w:val="0"/>
          <w:sz w:val="20"/>
        </w:rPr>
        <w:t>ells</w:t>
      </w:r>
      <w:r w:rsidR="003E3F19" w:rsidRPr="008D56CC">
        <w:rPr>
          <w:rFonts w:asciiTheme="minorHAnsi" w:eastAsiaTheme="minorHAnsi" w:hAnsiTheme="minorHAnsi" w:cstheme="minorHAnsi"/>
          <w:color w:val="auto"/>
          <w:kern w:val="0"/>
          <w:sz w:val="20"/>
        </w:rPr>
        <w:t>, located within the facility, that</w:t>
      </w:r>
      <w:r w:rsidRPr="008D56CC">
        <w:rPr>
          <w:rFonts w:asciiTheme="minorHAnsi" w:eastAsiaTheme="minorHAnsi" w:hAnsiTheme="minorHAnsi" w:cstheme="minorHAnsi"/>
          <w:color w:val="auto"/>
          <w:kern w:val="0"/>
          <w:sz w:val="20"/>
        </w:rPr>
        <w:t xml:space="preserve"> provide the Easterly Wastewater Treatment Plant with </w:t>
      </w:r>
      <w:r w:rsidRPr="008D56CC">
        <w:rPr>
          <w:rFonts w:asciiTheme="minorHAnsi" w:eastAsiaTheme="minorHAnsi" w:hAnsiTheme="minorHAnsi" w:cstheme="minorHAnsi"/>
          <w:i/>
          <w:color w:val="auto"/>
          <w:kern w:val="0"/>
          <w:sz w:val="20"/>
        </w:rPr>
        <w:t>potable</w:t>
      </w:r>
      <w:r w:rsidRPr="008D56CC">
        <w:rPr>
          <w:rFonts w:asciiTheme="minorHAnsi" w:eastAsiaTheme="minorHAnsi" w:hAnsiTheme="minorHAnsi" w:cstheme="minorHAnsi"/>
          <w:color w:val="auto"/>
          <w:kern w:val="0"/>
          <w:sz w:val="20"/>
        </w:rPr>
        <w:t xml:space="preserve"> water (1W) for personnel facilities and shower/eyewash units and </w:t>
      </w:r>
      <w:r w:rsidRPr="008D56CC">
        <w:rPr>
          <w:rFonts w:asciiTheme="minorHAnsi" w:eastAsiaTheme="minorHAnsi" w:hAnsiTheme="minorHAnsi" w:cstheme="minorHAnsi"/>
          <w:i/>
          <w:color w:val="auto"/>
          <w:kern w:val="0"/>
          <w:sz w:val="20"/>
        </w:rPr>
        <w:t>non-potable</w:t>
      </w:r>
      <w:r w:rsidRPr="008D56CC">
        <w:rPr>
          <w:rFonts w:asciiTheme="minorHAnsi" w:eastAsiaTheme="minorHAnsi" w:hAnsiTheme="minorHAnsi" w:cstheme="minorHAnsi"/>
          <w:color w:val="auto"/>
          <w:kern w:val="0"/>
          <w:sz w:val="20"/>
        </w:rPr>
        <w:t xml:space="preserve"> water (2W) for process uses such as pump seals and polymer dilution. The system is permitted as a non-transient-non-community water system (NTNCWS) by the State Water Resources Control Board Division of Drinking Water under California Health and Safety Code 116275.</w:t>
      </w:r>
    </w:p>
    <w:p w14:paraId="75540F49" w14:textId="77777777" w:rsidR="006A1A21" w:rsidRPr="008D56CC" w:rsidRDefault="006A1A21" w:rsidP="006A1A21">
      <w:pPr>
        <w:autoSpaceDE w:val="0"/>
        <w:autoSpaceDN w:val="0"/>
        <w:adjustRightInd w:val="0"/>
        <w:spacing w:after="0" w:line="240" w:lineRule="auto"/>
        <w:ind w:firstLine="720"/>
        <w:rPr>
          <w:rFonts w:asciiTheme="minorHAnsi" w:eastAsiaTheme="minorHAnsi" w:hAnsiTheme="minorHAnsi" w:cstheme="minorHAnsi"/>
          <w:color w:val="auto"/>
          <w:kern w:val="0"/>
          <w:sz w:val="20"/>
        </w:rPr>
      </w:pPr>
    </w:p>
    <w:p w14:paraId="34DB4899" w14:textId="67A09D1F" w:rsidR="00F072C0" w:rsidRPr="008D56CC" w:rsidRDefault="00611D54" w:rsidP="006A1A21">
      <w:pPr>
        <w:autoSpaceDE w:val="0"/>
        <w:autoSpaceDN w:val="0"/>
        <w:adjustRightInd w:val="0"/>
        <w:spacing w:after="0" w:line="240" w:lineRule="auto"/>
        <w:ind w:firstLine="720"/>
        <w:rPr>
          <w:rFonts w:asciiTheme="minorHAnsi" w:eastAsiaTheme="minorHAnsi" w:hAnsiTheme="minorHAnsi" w:cstheme="minorHAnsi"/>
          <w:color w:val="auto"/>
          <w:kern w:val="0"/>
          <w:sz w:val="20"/>
        </w:rPr>
      </w:pPr>
      <w:r>
        <w:rPr>
          <w:rFonts w:asciiTheme="minorHAnsi" w:eastAsiaTheme="minorHAnsi" w:hAnsiTheme="minorHAnsi" w:cstheme="minorHAnsi"/>
          <w:color w:val="auto"/>
          <w:kern w:val="0"/>
          <w:sz w:val="20"/>
        </w:rPr>
        <w:t>The p</w:t>
      </w:r>
      <w:r w:rsidR="00F072C0" w:rsidRPr="008D56CC">
        <w:rPr>
          <w:rFonts w:asciiTheme="minorHAnsi" w:eastAsiaTheme="minorHAnsi" w:hAnsiTheme="minorHAnsi" w:cstheme="minorHAnsi"/>
          <w:color w:val="auto"/>
          <w:kern w:val="0"/>
          <w:sz w:val="20"/>
        </w:rPr>
        <w:t xml:space="preserve">otable water system is operated by Water Operations and includes </w:t>
      </w:r>
      <w:r w:rsidR="00212A79" w:rsidRPr="008D56CC">
        <w:rPr>
          <w:rFonts w:asciiTheme="minorHAnsi" w:eastAsiaTheme="minorHAnsi" w:hAnsiTheme="minorHAnsi" w:cstheme="minorHAnsi"/>
          <w:color w:val="auto"/>
          <w:kern w:val="0"/>
          <w:sz w:val="20"/>
        </w:rPr>
        <w:t>wells</w:t>
      </w:r>
      <w:r w:rsidR="00F072C0" w:rsidRPr="008D56CC">
        <w:rPr>
          <w:rFonts w:asciiTheme="minorHAnsi" w:eastAsiaTheme="minorHAnsi" w:hAnsiTheme="minorHAnsi" w:cstheme="minorHAnsi"/>
          <w:color w:val="auto"/>
          <w:kern w:val="0"/>
          <w:sz w:val="20"/>
        </w:rPr>
        <w:t>, chlorination system, storage reservoir, 1W pumps, 1W hydro tank, fire pump, and the 1W distribution system.  Non-potable water is operated by Wastewater Operations, starting at the air gap tank separating the 1W from the 2W and includes the 2W pumps, 2W hydro tank, and the 2W distribution system.</w:t>
      </w:r>
    </w:p>
    <w:p w14:paraId="5B7CF0C5" w14:textId="77777777" w:rsidR="006A1A21" w:rsidRPr="008D56CC" w:rsidRDefault="006A1A21" w:rsidP="006A1A21">
      <w:pPr>
        <w:autoSpaceDE w:val="0"/>
        <w:autoSpaceDN w:val="0"/>
        <w:adjustRightInd w:val="0"/>
        <w:spacing w:after="0" w:line="240" w:lineRule="auto"/>
        <w:ind w:firstLine="720"/>
        <w:rPr>
          <w:rFonts w:asciiTheme="minorHAnsi" w:eastAsiaTheme="minorHAnsi" w:hAnsiTheme="minorHAnsi" w:cstheme="minorHAnsi"/>
          <w:color w:val="auto"/>
          <w:kern w:val="0"/>
          <w:sz w:val="20"/>
        </w:rPr>
      </w:pPr>
    </w:p>
    <w:p w14:paraId="632D9194" w14:textId="276A4646" w:rsidR="00F072C0" w:rsidRPr="008D56CC" w:rsidRDefault="00F072C0" w:rsidP="00F072C0">
      <w:pPr>
        <w:autoSpaceDE w:val="0"/>
        <w:autoSpaceDN w:val="0"/>
        <w:adjustRightInd w:val="0"/>
        <w:spacing w:after="0" w:line="240" w:lineRule="auto"/>
        <w:ind w:firstLine="720"/>
        <w:rPr>
          <w:rFonts w:asciiTheme="minorHAnsi" w:eastAsiaTheme="minorHAnsi" w:hAnsiTheme="minorHAnsi" w:cstheme="minorHAnsi"/>
          <w:color w:val="auto"/>
          <w:kern w:val="0"/>
          <w:sz w:val="20"/>
        </w:rPr>
      </w:pPr>
      <w:r w:rsidRPr="008D56CC">
        <w:rPr>
          <w:rFonts w:asciiTheme="minorHAnsi" w:eastAsiaTheme="minorHAnsi" w:hAnsiTheme="minorHAnsi" w:cstheme="minorHAnsi"/>
          <w:color w:val="auto"/>
          <w:kern w:val="0"/>
          <w:sz w:val="20"/>
        </w:rPr>
        <w:t xml:space="preserve"> </w:t>
      </w:r>
      <w:r w:rsidR="00611D54">
        <w:rPr>
          <w:rFonts w:asciiTheme="minorHAnsi" w:eastAsiaTheme="minorHAnsi" w:hAnsiTheme="minorHAnsi" w:cstheme="minorHAnsi"/>
          <w:color w:val="auto"/>
          <w:kern w:val="0"/>
          <w:sz w:val="20"/>
        </w:rPr>
        <w:t>The p</w:t>
      </w:r>
      <w:r w:rsidRPr="008D56CC">
        <w:rPr>
          <w:rFonts w:asciiTheme="minorHAnsi" w:eastAsiaTheme="minorHAnsi" w:hAnsiTheme="minorHAnsi" w:cstheme="minorHAnsi"/>
          <w:color w:val="auto"/>
          <w:kern w:val="0"/>
          <w:sz w:val="20"/>
        </w:rPr>
        <w:t>otable water is supplied by either of two submersible well pumps, one located in the Well Building and the other next to the 1W/2W reservoir.  Only one well pump can be operated at a time.  The well pumps start and stop automatically in response to the level signal from the ultrasonic level detector in the water storage reservoir.  When the well pump starts, a signal is sent to start the hypochlorite solution pump.  Chlorine solution is injected to the well pump discharge to ensure that the water is disinfected.  A chlorine residual is maintained in the potable water system to protect against contamination in the unlikely event of a cross connection.  A tablet chlorinator is installed in the Well Building as a backup for the hypochlorite feed system</w:t>
      </w:r>
      <w:r w:rsidR="00E00E32" w:rsidRPr="008D56CC">
        <w:rPr>
          <w:rFonts w:asciiTheme="minorHAnsi" w:eastAsiaTheme="minorHAnsi" w:hAnsiTheme="minorHAnsi" w:cstheme="minorHAnsi"/>
          <w:color w:val="auto"/>
          <w:kern w:val="0"/>
          <w:sz w:val="20"/>
        </w:rPr>
        <w:t>.</w:t>
      </w:r>
    </w:p>
    <w:p w14:paraId="6636B6B3" w14:textId="77777777" w:rsidR="00F072C0" w:rsidRPr="008D56CC" w:rsidRDefault="00F072C0" w:rsidP="00F072C0">
      <w:pPr>
        <w:autoSpaceDE w:val="0"/>
        <w:autoSpaceDN w:val="0"/>
        <w:adjustRightInd w:val="0"/>
        <w:spacing w:after="0" w:line="240" w:lineRule="auto"/>
        <w:ind w:firstLine="720"/>
        <w:rPr>
          <w:rFonts w:asciiTheme="minorHAnsi" w:eastAsiaTheme="minorHAnsi" w:hAnsiTheme="minorHAnsi" w:cstheme="minorHAnsi"/>
          <w:color w:val="auto"/>
          <w:kern w:val="0"/>
          <w:sz w:val="20"/>
        </w:rPr>
      </w:pPr>
    </w:p>
    <w:p w14:paraId="5C0BEC5C" w14:textId="77777777" w:rsidR="00C412DB" w:rsidRPr="008D56CC" w:rsidRDefault="00F072C0" w:rsidP="008A5169">
      <w:pPr>
        <w:widowControl w:val="0"/>
        <w:spacing w:after="0"/>
        <w:ind w:firstLine="720"/>
        <w:rPr>
          <w:rFonts w:asciiTheme="minorHAnsi" w:eastAsiaTheme="minorHAnsi" w:hAnsiTheme="minorHAnsi" w:cstheme="minorHAnsi"/>
          <w:color w:val="auto"/>
          <w:kern w:val="0"/>
          <w:sz w:val="20"/>
        </w:rPr>
      </w:pPr>
      <w:r w:rsidRPr="008D56CC">
        <w:rPr>
          <w:rFonts w:asciiTheme="minorHAnsi" w:eastAsiaTheme="minorHAnsi" w:hAnsiTheme="minorHAnsi" w:cstheme="minorHAnsi"/>
          <w:color w:val="auto"/>
          <w:kern w:val="0"/>
          <w:sz w:val="20"/>
        </w:rPr>
        <w:t>The well pump discharges through a 4-inch line to the cylindrical concrete Storage Reservoir.  There is also a 4-inch bypass line around the reservoir so that well water can be pumped directly to the potable water pumps when the reservoir is out of service.  Potable water is drawn from the storage reservoir through an 8-inch line and pumped into the hydropneumatic tank by any of the three vertical-turbine pumps operating automatically.  Water flows through the hydropneumatic tank and into the distribution system</w:t>
      </w:r>
      <w:r w:rsidR="00E00E32" w:rsidRPr="008D56CC">
        <w:rPr>
          <w:rFonts w:asciiTheme="minorHAnsi" w:eastAsiaTheme="minorHAnsi" w:hAnsiTheme="minorHAnsi" w:cstheme="minorHAnsi"/>
          <w:color w:val="auto"/>
          <w:kern w:val="0"/>
          <w:sz w:val="20"/>
        </w:rPr>
        <w:t>.</w:t>
      </w:r>
    </w:p>
    <w:p w14:paraId="50775E83" w14:textId="77777777" w:rsidR="008A5169" w:rsidRPr="008D56CC" w:rsidRDefault="008A5169" w:rsidP="008A5169">
      <w:pPr>
        <w:widowControl w:val="0"/>
        <w:spacing w:after="0"/>
        <w:ind w:firstLine="720"/>
        <w:rPr>
          <w:rFonts w:asciiTheme="minorHAnsi" w:eastAsiaTheme="minorHAnsi" w:hAnsiTheme="minorHAnsi" w:cstheme="minorHAnsi"/>
          <w:color w:val="auto"/>
          <w:kern w:val="0"/>
          <w:sz w:val="20"/>
        </w:rPr>
      </w:pPr>
    </w:p>
    <w:p w14:paraId="0E71A04F" w14:textId="77777777" w:rsidR="00C412DB" w:rsidRPr="008D56CC" w:rsidRDefault="00C412DB" w:rsidP="008A5169">
      <w:pPr>
        <w:widowControl w:val="0"/>
        <w:spacing w:after="0"/>
        <w:rPr>
          <w:rFonts w:ascii="Calibri" w:hAnsi="Calibri" w:cs="Calibri"/>
          <w:b/>
          <w:bCs/>
          <w:color w:val="auto"/>
          <w:sz w:val="20"/>
        </w:rPr>
      </w:pPr>
      <w:r w:rsidRPr="008D56CC">
        <w:rPr>
          <w:rFonts w:ascii="Calibri" w:hAnsi="Calibri" w:cs="Calibri"/>
          <w:b/>
          <w:bCs/>
          <w:color w:val="auto"/>
          <w:sz w:val="20"/>
        </w:rPr>
        <w:t>SOURCES OF WATER AND CONTAMINANTS:</w:t>
      </w:r>
    </w:p>
    <w:p w14:paraId="381FAC93" w14:textId="77777777" w:rsidR="004F6C3B" w:rsidRPr="008D56CC" w:rsidRDefault="004F6C3B" w:rsidP="008A5169">
      <w:pPr>
        <w:widowControl w:val="0"/>
        <w:spacing w:after="0"/>
        <w:rPr>
          <w:rFonts w:ascii="Calibri" w:hAnsi="Calibri" w:cs="Calibri"/>
          <w:b/>
          <w:bCs/>
          <w:color w:val="auto"/>
          <w:sz w:val="20"/>
        </w:rPr>
      </w:pPr>
    </w:p>
    <w:p w14:paraId="322C4DE2" w14:textId="683D0E62" w:rsidR="00FC32DA" w:rsidRPr="008D56CC" w:rsidRDefault="00C412DB" w:rsidP="008A5169">
      <w:pPr>
        <w:widowControl w:val="0"/>
        <w:spacing w:after="0"/>
        <w:ind w:firstLine="720"/>
        <w:rPr>
          <w:rFonts w:ascii="Calibri" w:hAnsi="Calibri" w:cs="Calibri"/>
          <w:color w:val="auto"/>
          <w:sz w:val="20"/>
        </w:rPr>
      </w:pPr>
      <w:r w:rsidRPr="008D56CC">
        <w:rPr>
          <w:rFonts w:ascii="Calibri" w:hAnsi="Calibri" w:cs="Calibri"/>
          <w:color w:val="auto"/>
          <w:sz w:val="20"/>
        </w:rPr>
        <w:t>The sources of drinking water (both tap and bottled) include</w:t>
      </w:r>
      <w:r w:rsidR="00735A4F" w:rsidRPr="008D56CC">
        <w:rPr>
          <w:rFonts w:ascii="Calibri" w:hAnsi="Calibri" w:cs="Calibri"/>
          <w:color w:val="auto"/>
          <w:sz w:val="20"/>
        </w:rPr>
        <w:t xml:space="preserve"> </w:t>
      </w:r>
      <w:r w:rsidRPr="008D56CC">
        <w:rPr>
          <w:rFonts w:ascii="Calibri" w:hAnsi="Calibri" w:cs="Calibri"/>
          <w:color w:val="auto"/>
          <w:sz w:val="20"/>
        </w:rPr>
        <w:t>rivers, lak</w:t>
      </w:r>
      <w:r w:rsidR="00FC32DA" w:rsidRPr="008D56CC">
        <w:rPr>
          <w:rFonts w:ascii="Calibri" w:hAnsi="Calibri" w:cs="Calibri"/>
          <w:color w:val="auto"/>
          <w:sz w:val="20"/>
        </w:rPr>
        <w:t xml:space="preserve">es, streams, ponds, reservoirs, </w:t>
      </w:r>
      <w:r w:rsidRPr="008D56CC">
        <w:rPr>
          <w:rFonts w:ascii="Calibri" w:hAnsi="Calibri" w:cs="Calibri"/>
          <w:color w:val="auto"/>
          <w:sz w:val="20"/>
        </w:rPr>
        <w:t>springs, and wells.  As water travels over the surface of the land or through the</w:t>
      </w:r>
      <w:r w:rsidR="00FC32DA" w:rsidRPr="008D56CC">
        <w:rPr>
          <w:rFonts w:ascii="Calibri" w:hAnsi="Calibri" w:cs="Calibri"/>
          <w:color w:val="auto"/>
          <w:sz w:val="20"/>
        </w:rPr>
        <w:t xml:space="preserve"> ground, it dissolves naturally </w:t>
      </w:r>
      <w:r w:rsidRPr="008D56CC">
        <w:rPr>
          <w:rFonts w:ascii="Calibri" w:hAnsi="Calibri" w:cs="Calibri"/>
          <w:color w:val="auto"/>
          <w:sz w:val="20"/>
        </w:rPr>
        <w:t>occurring minerals, and in some cases, radioactive material, and can pick u</w:t>
      </w:r>
      <w:r w:rsidR="00FC32DA" w:rsidRPr="008D56CC">
        <w:rPr>
          <w:rFonts w:ascii="Calibri" w:hAnsi="Calibri" w:cs="Calibri"/>
          <w:color w:val="auto"/>
          <w:sz w:val="20"/>
        </w:rPr>
        <w:t xml:space="preserve">p substances resulting from the </w:t>
      </w:r>
      <w:r w:rsidRPr="008D56CC">
        <w:rPr>
          <w:rFonts w:ascii="Calibri" w:hAnsi="Calibri" w:cs="Calibri"/>
          <w:color w:val="auto"/>
          <w:sz w:val="20"/>
        </w:rPr>
        <w:t xml:space="preserve">presence of animals or from human activity.  </w:t>
      </w:r>
      <w:r w:rsidR="00FC32DA" w:rsidRPr="008D56CC">
        <w:rPr>
          <w:rFonts w:ascii="Calibri" w:hAnsi="Calibri" w:cs="Calibri"/>
          <w:color w:val="auto"/>
          <w:sz w:val="20"/>
        </w:rPr>
        <w:t xml:space="preserve"> Potential contaminants include:</w:t>
      </w:r>
    </w:p>
    <w:p w14:paraId="68B49FB4" w14:textId="77777777" w:rsidR="00FC32DA" w:rsidRPr="008D56CC" w:rsidRDefault="00FC32DA" w:rsidP="00FC32DA">
      <w:pPr>
        <w:pStyle w:val="ListParagraph"/>
        <w:widowControl w:val="0"/>
        <w:numPr>
          <w:ilvl w:val="0"/>
          <w:numId w:val="1"/>
        </w:numPr>
        <w:rPr>
          <w:rFonts w:ascii="Calibri" w:hAnsi="Calibri" w:cs="Calibri"/>
          <w:color w:val="auto"/>
          <w:sz w:val="20"/>
        </w:rPr>
      </w:pPr>
      <w:r w:rsidRPr="008D56CC">
        <w:rPr>
          <w:rFonts w:ascii="Calibri" w:hAnsi="Calibri" w:cs="Calibri"/>
          <w:color w:val="auto"/>
          <w:sz w:val="20"/>
        </w:rPr>
        <w:t>Microbial contaminants, such as viruses and bacteria, that may come from sewage treatment plants, septic systems, agricultural livestock operations, and wildlife.</w:t>
      </w:r>
    </w:p>
    <w:p w14:paraId="745FBCF7" w14:textId="77777777" w:rsidR="00FC32DA" w:rsidRPr="008D56CC" w:rsidRDefault="00FC32DA" w:rsidP="00FC32DA">
      <w:pPr>
        <w:pStyle w:val="ListParagraph"/>
        <w:widowControl w:val="0"/>
        <w:numPr>
          <w:ilvl w:val="0"/>
          <w:numId w:val="1"/>
        </w:numPr>
        <w:rPr>
          <w:rFonts w:ascii="Calibri" w:hAnsi="Calibri" w:cs="Calibri"/>
          <w:color w:val="auto"/>
          <w:sz w:val="20"/>
        </w:rPr>
      </w:pPr>
      <w:r w:rsidRPr="008D56CC">
        <w:rPr>
          <w:rFonts w:ascii="Calibri" w:hAnsi="Calibri" w:cs="Calibri"/>
          <w:color w:val="auto"/>
          <w:sz w:val="20"/>
        </w:rPr>
        <w:t>Inorganic contaminants, such as salts and metals, that can be naturally occurring or result from urban stormwater runoff, industrial or domestic wastewater discharges, oil and gas production, mining, or farming.</w:t>
      </w:r>
    </w:p>
    <w:p w14:paraId="17E1443F" w14:textId="77777777" w:rsidR="00FC32DA" w:rsidRPr="008D56CC" w:rsidRDefault="00FC32DA" w:rsidP="00FC32DA">
      <w:pPr>
        <w:pStyle w:val="ListParagraph"/>
        <w:widowControl w:val="0"/>
        <w:numPr>
          <w:ilvl w:val="0"/>
          <w:numId w:val="1"/>
        </w:numPr>
        <w:rPr>
          <w:rFonts w:ascii="Calibri" w:hAnsi="Calibri" w:cs="Calibri"/>
          <w:color w:val="auto"/>
          <w:sz w:val="20"/>
        </w:rPr>
      </w:pPr>
      <w:r w:rsidRPr="008D56CC">
        <w:rPr>
          <w:rFonts w:ascii="Calibri" w:hAnsi="Calibri" w:cs="Calibri"/>
          <w:color w:val="auto"/>
          <w:sz w:val="20"/>
        </w:rPr>
        <w:t>Pesticides and herbicides that may come from a variety of sources such as agriculture, urban stormwater runoff, and residential uses.</w:t>
      </w:r>
    </w:p>
    <w:p w14:paraId="3803E9BF" w14:textId="77777777" w:rsidR="00FC32DA" w:rsidRPr="008D56CC" w:rsidRDefault="00FC32DA" w:rsidP="00FC32DA">
      <w:pPr>
        <w:pStyle w:val="ListParagraph"/>
        <w:widowControl w:val="0"/>
        <w:numPr>
          <w:ilvl w:val="0"/>
          <w:numId w:val="1"/>
        </w:numPr>
        <w:rPr>
          <w:rFonts w:ascii="Calibri" w:hAnsi="Calibri" w:cs="Calibri"/>
          <w:color w:val="auto"/>
          <w:sz w:val="20"/>
        </w:rPr>
      </w:pPr>
      <w:r w:rsidRPr="008D56CC">
        <w:rPr>
          <w:rFonts w:ascii="Calibri" w:hAnsi="Calibri" w:cs="Calibri"/>
          <w:color w:val="auto"/>
          <w:sz w:val="20"/>
        </w:rPr>
        <w:t>Organic chemical contaminants, including synthetic and volatile org</w:t>
      </w:r>
      <w:r w:rsidR="00372EEF" w:rsidRPr="008D56CC">
        <w:rPr>
          <w:rFonts w:ascii="Calibri" w:hAnsi="Calibri" w:cs="Calibri"/>
          <w:color w:val="auto"/>
          <w:sz w:val="20"/>
        </w:rPr>
        <w:t xml:space="preserve">anic chemicals, </w:t>
      </w:r>
      <w:r w:rsidR="00125E83" w:rsidRPr="008D56CC">
        <w:rPr>
          <w:rFonts w:ascii="Calibri" w:hAnsi="Calibri" w:cs="Calibri"/>
          <w:color w:val="auto"/>
          <w:sz w:val="20"/>
        </w:rPr>
        <w:t>which</w:t>
      </w:r>
      <w:r w:rsidR="00372EEF" w:rsidRPr="008D56CC">
        <w:rPr>
          <w:rFonts w:ascii="Calibri" w:hAnsi="Calibri" w:cs="Calibri"/>
          <w:color w:val="auto"/>
          <w:sz w:val="20"/>
        </w:rPr>
        <w:t xml:space="preserve"> are </w:t>
      </w:r>
      <w:r w:rsidRPr="008D56CC">
        <w:rPr>
          <w:rFonts w:ascii="Calibri" w:hAnsi="Calibri" w:cs="Calibri"/>
          <w:color w:val="auto"/>
          <w:sz w:val="20"/>
        </w:rPr>
        <w:t xml:space="preserve">by-products </w:t>
      </w:r>
      <w:r w:rsidR="00372EEF" w:rsidRPr="008D56CC">
        <w:rPr>
          <w:rFonts w:ascii="Calibri" w:hAnsi="Calibri" w:cs="Calibri"/>
          <w:color w:val="auto"/>
          <w:sz w:val="20"/>
        </w:rPr>
        <w:t>of industrial</w:t>
      </w:r>
      <w:r w:rsidRPr="008D56CC">
        <w:rPr>
          <w:rFonts w:ascii="Calibri" w:hAnsi="Calibri" w:cs="Calibri"/>
          <w:color w:val="auto"/>
          <w:sz w:val="20"/>
        </w:rPr>
        <w:t xml:space="preserve"> processes and petroleum production and can also come from gas stations, urban stormwater runoff, agricultural application, and septic systems. </w:t>
      </w:r>
    </w:p>
    <w:p w14:paraId="092B1B75" w14:textId="77777777" w:rsidR="00FC32DA" w:rsidRPr="008D56CC" w:rsidRDefault="00FC32DA" w:rsidP="00FC32DA">
      <w:pPr>
        <w:pStyle w:val="ListParagraph"/>
        <w:widowControl w:val="0"/>
        <w:numPr>
          <w:ilvl w:val="0"/>
          <w:numId w:val="1"/>
        </w:numPr>
        <w:rPr>
          <w:rFonts w:ascii="Calibri" w:hAnsi="Calibri" w:cs="Calibri"/>
          <w:color w:val="auto"/>
          <w:sz w:val="20"/>
        </w:rPr>
      </w:pPr>
      <w:r w:rsidRPr="008D56CC">
        <w:rPr>
          <w:rFonts w:ascii="Calibri" w:hAnsi="Calibri" w:cs="Calibri"/>
          <w:color w:val="auto"/>
          <w:sz w:val="20"/>
        </w:rPr>
        <w:t>Radioactive contaminants that can be naturally occurring or be the result of oil</w:t>
      </w:r>
      <w:r w:rsidR="00372EEF" w:rsidRPr="008D56CC">
        <w:rPr>
          <w:rFonts w:ascii="Calibri" w:hAnsi="Calibri" w:cs="Calibri"/>
          <w:color w:val="auto"/>
          <w:sz w:val="20"/>
        </w:rPr>
        <w:t xml:space="preserve"> and gas production and mining </w:t>
      </w:r>
      <w:r w:rsidRPr="008D56CC">
        <w:rPr>
          <w:rFonts w:ascii="Calibri" w:hAnsi="Calibri" w:cs="Calibri"/>
          <w:color w:val="auto"/>
          <w:sz w:val="20"/>
        </w:rPr>
        <w:t>activities.</w:t>
      </w:r>
    </w:p>
    <w:p w14:paraId="55C90D87" w14:textId="7A15A76C" w:rsidR="00FC32DA" w:rsidRPr="008D56CC" w:rsidRDefault="00212A79" w:rsidP="00584C2E">
      <w:pPr>
        <w:widowControl w:val="0"/>
        <w:spacing w:after="0"/>
        <w:ind w:firstLine="720"/>
        <w:rPr>
          <w:rFonts w:ascii="Calibri" w:hAnsi="Calibri" w:cs="Calibri"/>
          <w:color w:val="auto"/>
          <w:sz w:val="20"/>
        </w:rPr>
      </w:pPr>
      <w:r w:rsidRPr="008D56CC">
        <w:rPr>
          <w:rFonts w:ascii="Calibri" w:hAnsi="Calibri" w:cs="Calibri"/>
          <w:color w:val="auto"/>
          <w:sz w:val="20"/>
        </w:rPr>
        <w:t>To</w:t>
      </w:r>
      <w:r w:rsidR="00FC32DA" w:rsidRPr="008D56CC">
        <w:rPr>
          <w:rFonts w:ascii="Calibri" w:hAnsi="Calibri" w:cs="Calibri"/>
          <w:color w:val="auto"/>
          <w:sz w:val="20"/>
        </w:rPr>
        <w:t xml:space="preserve"> ensure that tap water is safe to drink, the USEPA and the SWRCB prescribe regulations that limit the amount of certain contaminants in water provided by public water systems. SWRCB regulations also establish limits for contaminants in bottled water that provide the same protection for public health.</w:t>
      </w:r>
    </w:p>
    <w:p w14:paraId="69D1615A" w14:textId="77777777" w:rsidR="003E60FF" w:rsidRDefault="003E60FF" w:rsidP="00584C2E">
      <w:pPr>
        <w:widowControl w:val="0"/>
        <w:spacing w:after="0"/>
        <w:ind w:firstLine="720"/>
        <w:rPr>
          <w:rFonts w:ascii="Calibri" w:hAnsi="Calibri" w:cs="Calibri"/>
          <w:color w:val="auto"/>
          <w:sz w:val="20"/>
        </w:rPr>
      </w:pPr>
    </w:p>
    <w:p w14:paraId="472AD10C" w14:textId="77777777" w:rsidR="001B0E83" w:rsidRPr="008D56CC" w:rsidRDefault="001B0E83" w:rsidP="00584C2E">
      <w:pPr>
        <w:widowControl w:val="0"/>
        <w:spacing w:after="0"/>
        <w:ind w:firstLine="720"/>
        <w:rPr>
          <w:rFonts w:ascii="Calibri" w:hAnsi="Calibri" w:cs="Calibri"/>
          <w:color w:val="auto"/>
          <w:sz w:val="20"/>
        </w:rPr>
      </w:pPr>
    </w:p>
    <w:p w14:paraId="5B688B3B" w14:textId="4724D10B" w:rsidR="00344B9F" w:rsidRPr="008D56CC" w:rsidRDefault="008C5A60" w:rsidP="003E60FF">
      <w:pPr>
        <w:widowControl w:val="0"/>
        <w:spacing w:after="0" w:line="240" w:lineRule="auto"/>
        <w:rPr>
          <w:rFonts w:ascii="Calibri" w:hAnsi="Calibri" w:cs="Calibri"/>
          <w:b/>
          <w:bCs/>
          <w:color w:val="auto"/>
          <w:sz w:val="20"/>
        </w:rPr>
      </w:pPr>
      <w:r w:rsidRPr="008D56CC">
        <w:rPr>
          <w:rFonts w:ascii="Calibri" w:hAnsi="Calibri" w:cs="Calibri"/>
          <w:b/>
          <w:bCs/>
          <w:color w:val="auto"/>
          <w:sz w:val="20"/>
        </w:rPr>
        <w:lastRenderedPageBreak/>
        <w:t>DETECTED CONTAMINANTS:</w:t>
      </w:r>
    </w:p>
    <w:p w14:paraId="0E8BCA69" w14:textId="77777777" w:rsidR="003E60FF" w:rsidRPr="008D56CC" w:rsidRDefault="003E60FF" w:rsidP="003E60FF">
      <w:pPr>
        <w:widowControl w:val="0"/>
        <w:spacing w:after="0" w:line="240" w:lineRule="auto"/>
        <w:rPr>
          <w:rFonts w:ascii="Calibri" w:hAnsi="Calibri" w:cs="Calibri"/>
          <w:b/>
          <w:bCs/>
          <w:color w:val="auto"/>
          <w:sz w:val="8"/>
          <w:szCs w:val="8"/>
        </w:rPr>
      </w:pPr>
    </w:p>
    <w:p w14:paraId="54B23165" w14:textId="3648371D" w:rsidR="00C25074" w:rsidRPr="008D56CC" w:rsidRDefault="00C25074" w:rsidP="003E60FF">
      <w:pPr>
        <w:widowControl w:val="0"/>
        <w:spacing w:after="0"/>
        <w:rPr>
          <w:rFonts w:ascii="Calibri" w:hAnsi="Calibri" w:cs="Calibri"/>
          <w:bCs/>
          <w:color w:val="auto"/>
          <w:sz w:val="20"/>
        </w:rPr>
      </w:pPr>
      <w:r w:rsidRPr="008D56CC">
        <w:rPr>
          <w:rFonts w:ascii="Calibri" w:hAnsi="Calibri" w:cs="Calibri"/>
          <w:b/>
          <w:bCs/>
          <w:color w:val="auto"/>
          <w:sz w:val="20"/>
        </w:rPr>
        <w:tab/>
      </w:r>
      <w:r w:rsidRPr="008D56CC">
        <w:rPr>
          <w:rFonts w:ascii="Calibri" w:hAnsi="Calibri" w:cs="Calibri"/>
          <w:bCs/>
          <w:color w:val="auto"/>
          <w:sz w:val="20"/>
        </w:rPr>
        <w:t xml:space="preserve">The following tables list all of the drinking water contaminants that were detected during the most recent sampling for constituents.  To read the tables, start with the </w:t>
      </w:r>
      <w:r w:rsidR="00212A79" w:rsidRPr="008D56CC">
        <w:rPr>
          <w:rFonts w:ascii="Calibri" w:hAnsi="Calibri" w:cs="Calibri"/>
          <w:bCs/>
          <w:color w:val="auto"/>
          <w:sz w:val="20"/>
        </w:rPr>
        <w:t>far-left</w:t>
      </w:r>
      <w:r w:rsidRPr="008D56CC">
        <w:rPr>
          <w:rFonts w:ascii="Calibri" w:hAnsi="Calibri" w:cs="Calibri"/>
          <w:bCs/>
          <w:color w:val="auto"/>
          <w:sz w:val="20"/>
        </w:rPr>
        <w:t xml:space="preserve"> column titled “Constituent” and read across the row.  Units express the amount measured.  MCL shows the highest amount of the substance allowed.  PHG (MCLG) is the goal amount for that substance, which may be a lower amount than the amount allowed.  The “Range” reports the lowest and highest amounts detected and the “Average” is the annual average.  “Contaminant Sources” describe where the substance usually originates.  To better understand the report, use the legend that defines the terms used. </w:t>
      </w:r>
    </w:p>
    <w:p w14:paraId="1D3CC77C" w14:textId="77777777" w:rsidR="00D46A97" w:rsidRPr="008D56CC" w:rsidRDefault="00D46A97" w:rsidP="003E60FF">
      <w:pPr>
        <w:widowControl w:val="0"/>
        <w:spacing w:after="0"/>
        <w:rPr>
          <w:rFonts w:ascii="Calibri" w:hAnsi="Calibri" w:cs="Calibri"/>
          <w:bCs/>
          <w:color w:val="auto"/>
          <w:sz w:val="12"/>
          <w:szCs w:val="12"/>
        </w:rPr>
      </w:pPr>
    </w:p>
    <w:tbl>
      <w:tblPr>
        <w:tblStyle w:val="TableGrid"/>
        <w:tblW w:w="0" w:type="auto"/>
        <w:tblInd w:w="87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90"/>
      </w:tblGrid>
      <w:tr w:rsidR="00F2605C" w:rsidRPr="008D56CC" w14:paraId="179B114E" w14:textId="77777777" w:rsidTr="00F2605C">
        <w:tc>
          <w:tcPr>
            <w:tcW w:w="9090" w:type="dxa"/>
          </w:tcPr>
          <w:p w14:paraId="588B6B91" w14:textId="5E2AD01D" w:rsidR="00F2605C" w:rsidRPr="00040189" w:rsidRDefault="00F2605C" w:rsidP="00F2605C">
            <w:pPr>
              <w:widowControl w:val="0"/>
              <w:spacing w:after="0"/>
              <w:jc w:val="center"/>
              <w:rPr>
                <w:rFonts w:ascii="Calibri" w:hAnsi="Calibri" w:cs="Calibri"/>
                <w:b/>
                <w:i/>
                <w:iCs/>
                <w:color w:val="EE0000"/>
                <w:sz w:val="20"/>
              </w:rPr>
            </w:pPr>
            <w:bookmarkStart w:id="0" w:name="_Hlk200006292"/>
            <w:r w:rsidRPr="00040189">
              <w:rPr>
                <w:rFonts w:ascii="Calibri" w:hAnsi="Calibri" w:cs="Calibri"/>
                <w:b/>
                <w:i/>
                <w:iCs/>
                <w:color w:val="EE0000"/>
                <w:sz w:val="20"/>
              </w:rPr>
              <w:t xml:space="preserve">During </w:t>
            </w:r>
            <w:r w:rsidR="00A144E6">
              <w:rPr>
                <w:rFonts w:ascii="Calibri" w:hAnsi="Calibri" w:cs="Calibri"/>
                <w:b/>
                <w:i/>
                <w:iCs/>
                <w:color w:val="EE0000"/>
                <w:sz w:val="20"/>
              </w:rPr>
              <w:t xml:space="preserve">2024 and </w:t>
            </w:r>
            <w:r w:rsidRPr="00040189">
              <w:rPr>
                <w:rFonts w:ascii="Calibri" w:hAnsi="Calibri" w:cs="Calibri"/>
                <w:b/>
                <w:i/>
                <w:iCs/>
                <w:color w:val="EE0000"/>
                <w:sz w:val="20"/>
              </w:rPr>
              <w:t>202</w:t>
            </w:r>
            <w:r w:rsidR="005410B5" w:rsidRPr="00040189">
              <w:rPr>
                <w:rFonts w:ascii="Calibri" w:hAnsi="Calibri" w:cs="Calibri"/>
                <w:b/>
                <w:i/>
                <w:iCs/>
                <w:color w:val="EE0000"/>
                <w:sz w:val="20"/>
              </w:rPr>
              <w:t>5</w:t>
            </w:r>
            <w:r w:rsidRPr="00040189">
              <w:rPr>
                <w:rFonts w:ascii="Calibri" w:hAnsi="Calibri" w:cs="Calibri"/>
                <w:b/>
                <w:i/>
                <w:iCs/>
                <w:color w:val="EE0000"/>
                <w:sz w:val="20"/>
              </w:rPr>
              <w:t xml:space="preserve">, Well #2 served as the sole source of </w:t>
            </w:r>
            <w:r w:rsidR="00977673" w:rsidRPr="00040189">
              <w:rPr>
                <w:rFonts w:ascii="Calibri" w:hAnsi="Calibri" w:cs="Calibri"/>
                <w:b/>
                <w:i/>
                <w:iCs/>
                <w:color w:val="EE0000"/>
                <w:sz w:val="20"/>
              </w:rPr>
              <w:t>potable</w:t>
            </w:r>
            <w:r w:rsidRPr="00040189">
              <w:rPr>
                <w:rFonts w:ascii="Calibri" w:hAnsi="Calibri" w:cs="Calibri"/>
                <w:b/>
                <w:i/>
                <w:iCs/>
                <w:color w:val="EE0000"/>
                <w:sz w:val="20"/>
              </w:rPr>
              <w:t xml:space="preserve"> water produced by </w:t>
            </w:r>
            <w:r w:rsidR="004655B9" w:rsidRPr="00040189">
              <w:rPr>
                <w:rFonts w:ascii="Calibri" w:hAnsi="Calibri" w:cs="Calibri"/>
                <w:b/>
                <w:i/>
                <w:iCs/>
                <w:color w:val="EE0000"/>
                <w:sz w:val="20"/>
              </w:rPr>
              <w:t>Easterly</w:t>
            </w:r>
            <w:r w:rsidRPr="00040189">
              <w:rPr>
                <w:rFonts w:ascii="Calibri" w:hAnsi="Calibri" w:cs="Calibri"/>
                <w:b/>
                <w:i/>
                <w:iCs/>
                <w:color w:val="EE0000"/>
                <w:sz w:val="20"/>
              </w:rPr>
              <w:t xml:space="preserve"> PWS.   </w:t>
            </w:r>
          </w:p>
          <w:p w14:paraId="289C84B0" w14:textId="6C857FF9" w:rsidR="00F2605C" w:rsidRPr="008D56CC" w:rsidRDefault="00F2605C" w:rsidP="00F2605C">
            <w:pPr>
              <w:widowControl w:val="0"/>
              <w:spacing w:after="0"/>
              <w:jc w:val="center"/>
              <w:rPr>
                <w:rFonts w:ascii="Calibri" w:hAnsi="Calibri" w:cs="Calibri"/>
                <w:bCs/>
                <w:color w:val="auto"/>
                <w:sz w:val="20"/>
              </w:rPr>
            </w:pPr>
            <w:r w:rsidRPr="00040189">
              <w:rPr>
                <w:rFonts w:ascii="Calibri" w:hAnsi="Calibri" w:cs="Calibri"/>
                <w:b/>
                <w:i/>
                <w:iCs/>
                <w:color w:val="EE0000"/>
                <w:sz w:val="20"/>
              </w:rPr>
              <w:t>Usage of Well #1 was restricted solely for the purpose of sample collection and monitoring</w:t>
            </w:r>
            <w:r w:rsidRPr="00040189">
              <w:rPr>
                <w:rFonts w:ascii="Calibri" w:hAnsi="Calibri" w:cs="Calibri"/>
                <w:b/>
                <w:color w:val="EE0000"/>
                <w:sz w:val="20"/>
              </w:rPr>
              <w:t>.</w:t>
            </w:r>
            <w:bookmarkEnd w:id="0"/>
          </w:p>
        </w:tc>
      </w:tr>
    </w:tbl>
    <w:p w14:paraId="7C16D645" w14:textId="77777777" w:rsidR="00B31D69" w:rsidRDefault="00B31D69" w:rsidP="003E60FF">
      <w:pPr>
        <w:widowControl w:val="0"/>
        <w:spacing w:after="0"/>
        <w:rPr>
          <w:rFonts w:ascii="Calibri" w:hAnsi="Calibri" w:cs="Calibri"/>
          <w:bCs/>
          <w:color w:val="EE0000"/>
          <w:sz w:val="12"/>
          <w:szCs w:val="12"/>
        </w:rPr>
      </w:pPr>
    </w:p>
    <w:p w14:paraId="752B5019" w14:textId="515C9FE1" w:rsidR="004F1369" w:rsidRPr="00F2605C" w:rsidRDefault="00E5424C" w:rsidP="003E60FF">
      <w:pPr>
        <w:widowControl w:val="0"/>
        <w:spacing w:after="0"/>
        <w:rPr>
          <w:rFonts w:ascii="Calibri" w:hAnsi="Calibri" w:cs="Calibri"/>
          <w:bCs/>
          <w:color w:val="EE0000"/>
          <w:sz w:val="12"/>
          <w:szCs w:val="12"/>
        </w:rPr>
      </w:pPr>
      <w:r w:rsidRPr="00E5424C">
        <w:rPr>
          <w:noProof/>
        </w:rPr>
        <w:drawing>
          <wp:inline distT="0" distB="0" distL="0" distR="0" wp14:anchorId="4FDD1518" wp14:editId="3288E8A6">
            <wp:extent cx="7040880" cy="10424795"/>
            <wp:effectExtent l="0" t="0" r="7620" b="0"/>
            <wp:docPr id="159403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0880" cy="10424795"/>
                    </a:xfrm>
                    <a:prstGeom prst="rect">
                      <a:avLst/>
                    </a:prstGeom>
                    <a:noFill/>
                    <a:ln>
                      <a:noFill/>
                    </a:ln>
                  </pic:spPr>
                </pic:pic>
              </a:graphicData>
            </a:graphic>
          </wp:inline>
        </w:drawing>
      </w:r>
    </w:p>
    <w:p w14:paraId="53818157" w14:textId="77777777" w:rsidR="004F1369" w:rsidRDefault="004F1369" w:rsidP="003E60FF">
      <w:pPr>
        <w:widowControl w:val="0"/>
        <w:spacing w:after="0"/>
        <w:rPr>
          <w:rFonts w:ascii="Calibri" w:hAnsi="Calibri" w:cs="Calibri"/>
          <w:b/>
          <w:bCs/>
          <w:color w:val="auto"/>
          <w:sz w:val="20"/>
        </w:rPr>
      </w:pPr>
    </w:p>
    <w:p w14:paraId="4B0DA124" w14:textId="77777777" w:rsidR="00377688" w:rsidRPr="00377688" w:rsidRDefault="00D51D95" w:rsidP="00D51D95">
      <w:pPr>
        <w:widowControl w:val="0"/>
        <w:spacing w:after="0"/>
        <w:rPr>
          <w:rFonts w:asciiTheme="minorHAnsi" w:hAnsiTheme="minorHAnsi" w:cstheme="minorHAnsi"/>
          <w:b/>
          <w:bCs/>
          <w:color w:val="auto"/>
          <w:sz w:val="20"/>
        </w:rPr>
      </w:pPr>
      <w:r w:rsidRPr="00FC32DA">
        <w:rPr>
          <w:rFonts w:ascii="Calibri" w:hAnsi="Calibri" w:cs="Calibri"/>
          <w:sz w:val="20"/>
        </w:rPr>
        <w:t> </w:t>
      </w:r>
      <w:r w:rsidRPr="00392D22">
        <w:rPr>
          <w:rFonts w:asciiTheme="minorHAnsi" w:hAnsiTheme="minorHAnsi" w:cstheme="minorHAnsi"/>
          <w:b/>
          <w:bCs/>
          <w:color w:val="auto"/>
          <w:sz w:val="20"/>
        </w:rPr>
        <w:t>KEEP THE LEAD OUT OF DRINKING WATER</w:t>
      </w:r>
      <w:r>
        <w:rPr>
          <w:rFonts w:asciiTheme="minorHAnsi" w:hAnsiTheme="minorHAnsi" w:cstheme="minorHAnsi"/>
          <w:b/>
          <w:bCs/>
          <w:color w:val="auto"/>
          <w:sz w:val="20"/>
        </w:rPr>
        <w:t>:</w:t>
      </w:r>
    </w:p>
    <w:p w14:paraId="64EBB2EC" w14:textId="77777777" w:rsidR="00D51D95" w:rsidRPr="00392D22" w:rsidRDefault="00D51D95" w:rsidP="00D51D95">
      <w:pPr>
        <w:widowControl w:val="0"/>
        <w:spacing w:after="0"/>
        <w:ind w:firstLine="720"/>
        <w:rPr>
          <w:rFonts w:asciiTheme="minorHAnsi" w:hAnsiTheme="minorHAnsi" w:cstheme="minorHAnsi"/>
          <w:b/>
          <w:bCs/>
          <w:color w:val="auto"/>
          <w:sz w:val="20"/>
        </w:rPr>
      </w:pPr>
      <w:r w:rsidRPr="00392D22">
        <w:rPr>
          <w:rFonts w:asciiTheme="minorHAnsi" w:hAnsiTheme="minorHAnsi" w:cstheme="minorHAnsi"/>
          <w:sz w:val="20"/>
        </w:rPr>
        <w:t>If present, elevated levels of lead can cause serious health problems, especially for pregnant women and young c</w:t>
      </w:r>
      <w:r>
        <w:rPr>
          <w:rFonts w:asciiTheme="minorHAnsi" w:hAnsiTheme="minorHAnsi" w:cstheme="minorHAnsi"/>
          <w:sz w:val="20"/>
        </w:rPr>
        <w:t xml:space="preserve">hildren.  </w:t>
      </w:r>
      <w:r w:rsidRPr="00392D22">
        <w:rPr>
          <w:rFonts w:asciiTheme="minorHAnsi" w:hAnsiTheme="minorHAnsi" w:cstheme="minorHAnsi"/>
          <w:sz w:val="20"/>
        </w:rPr>
        <w:t xml:space="preserve">Lead in drinking water is primarily from materials and components associated with service lines and home plumbing. </w:t>
      </w:r>
      <w:r>
        <w:rPr>
          <w:rFonts w:asciiTheme="minorHAnsi" w:hAnsiTheme="minorHAnsi" w:cstheme="minorHAnsi"/>
          <w:sz w:val="20"/>
        </w:rPr>
        <w:t xml:space="preserve"> </w:t>
      </w:r>
      <w:r w:rsidRPr="00392D22">
        <w:rPr>
          <w:rFonts w:asciiTheme="minorHAnsi" w:hAnsiTheme="minorHAnsi" w:cstheme="minorHAnsi"/>
          <w:sz w:val="20"/>
        </w:rPr>
        <w:t>The City is responsible for providing high</w:t>
      </w:r>
      <w:r>
        <w:rPr>
          <w:rFonts w:asciiTheme="minorHAnsi" w:hAnsiTheme="minorHAnsi" w:cstheme="minorHAnsi"/>
          <w:sz w:val="20"/>
        </w:rPr>
        <w:t xml:space="preserve"> quality drinking water but </w:t>
      </w:r>
      <w:r w:rsidR="00B51401">
        <w:rPr>
          <w:rFonts w:asciiTheme="minorHAnsi" w:hAnsiTheme="minorHAnsi" w:cstheme="minorHAnsi"/>
          <w:sz w:val="20"/>
        </w:rPr>
        <w:t>cann</w:t>
      </w:r>
      <w:r w:rsidR="00B51401" w:rsidRPr="00392D22">
        <w:rPr>
          <w:rFonts w:asciiTheme="minorHAnsi" w:hAnsiTheme="minorHAnsi" w:cstheme="minorHAnsi"/>
          <w:sz w:val="20"/>
        </w:rPr>
        <w:t>ot</w:t>
      </w:r>
      <w:r w:rsidRPr="00392D22">
        <w:rPr>
          <w:rFonts w:asciiTheme="minorHAnsi" w:hAnsiTheme="minorHAnsi" w:cstheme="minorHAnsi"/>
          <w:sz w:val="20"/>
        </w:rPr>
        <w:t xml:space="preserve"> always control the variety of materials used in plumbing components. </w:t>
      </w:r>
      <w:r>
        <w:rPr>
          <w:rFonts w:asciiTheme="minorHAnsi" w:hAnsiTheme="minorHAnsi" w:cstheme="minorHAnsi"/>
          <w:sz w:val="20"/>
        </w:rPr>
        <w:t xml:space="preserve"> </w:t>
      </w:r>
      <w:r w:rsidRPr="00392D22">
        <w:rPr>
          <w:rFonts w:asciiTheme="minorHAnsi" w:hAnsiTheme="minorHAnsi" w:cstheme="minorHAnsi"/>
          <w:sz w:val="20"/>
        </w:rPr>
        <w:t xml:space="preserve">When your water has been sitting for several hours, you can minimize the potential for lead exposure by flushing your tap for 30 seconds to 2 minutes before using water for drinking or cooking. </w:t>
      </w:r>
      <w:r>
        <w:rPr>
          <w:rFonts w:asciiTheme="minorHAnsi" w:hAnsiTheme="minorHAnsi" w:cstheme="minorHAnsi"/>
          <w:sz w:val="20"/>
        </w:rPr>
        <w:t xml:space="preserve">  </w:t>
      </w:r>
      <w:r w:rsidRPr="00392D22">
        <w:rPr>
          <w:rFonts w:asciiTheme="minorHAnsi" w:hAnsiTheme="minorHAnsi" w:cstheme="minorHAnsi"/>
          <w:sz w:val="20"/>
        </w:rPr>
        <w:t xml:space="preserve">Information on lead in drinking water, testing methods, and steps you can take to minimize exposure is available from the Safe Drinking Water Hotline or at </w:t>
      </w:r>
      <w:hyperlink r:id="rId8" w:history="1">
        <w:r w:rsidRPr="00392D22">
          <w:rPr>
            <w:rFonts w:asciiTheme="minorHAnsi" w:hAnsiTheme="minorHAnsi" w:cstheme="minorHAnsi"/>
            <w:sz w:val="20"/>
            <w:u w:val="single"/>
          </w:rPr>
          <w:t>http://www.epa.gov/lead</w:t>
        </w:r>
      </w:hyperlink>
      <w:r w:rsidRPr="00392D22">
        <w:rPr>
          <w:rFonts w:asciiTheme="minorHAnsi" w:hAnsiTheme="minorHAnsi" w:cstheme="minorHAnsi"/>
          <w:sz w:val="20"/>
        </w:rPr>
        <w:t>.</w:t>
      </w:r>
      <w:r w:rsidRPr="00392D22">
        <w:rPr>
          <w:rFonts w:asciiTheme="minorHAnsi" w:hAnsiTheme="minorHAnsi" w:cstheme="minorHAnsi"/>
          <w:b/>
          <w:bCs/>
          <w:sz w:val="20"/>
        </w:rPr>
        <w:t xml:space="preserve"> </w:t>
      </w:r>
    </w:p>
    <w:p w14:paraId="413C0790" w14:textId="77777777" w:rsidR="00D51D95" w:rsidRDefault="00D51D95" w:rsidP="00D51D95">
      <w:pPr>
        <w:widowControl w:val="0"/>
        <w:spacing w:after="40"/>
        <w:rPr>
          <w:rFonts w:ascii="Calibri" w:hAnsi="Calibri" w:cs="Calibri"/>
          <w:b/>
          <w:bCs/>
          <w:color w:val="auto"/>
          <w:sz w:val="20"/>
        </w:rPr>
      </w:pPr>
    </w:p>
    <w:p w14:paraId="36FAF482" w14:textId="77777777" w:rsidR="00377688" w:rsidRPr="00377688" w:rsidRDefault="00D51D95" w:rsidP="00D51D95">
      <w:pPr>
        <w:widowControl w:val="0"/>
        <w:spacing w:after="0"/>
        <w:rPr>
          <w:rFonts w:ascii="Calibri" w:hAnsi="Calibri" w:cs="Calibri"/>
          <w:b/>
          <w:bCs/>
          <w:color w:val="auto"/>
          <w:sz w:val="20"/>
        </w:rPr>
      </w:pPr>
      <w:r>
        <w:rPr>
          <w:rFonts w:ascii="Calibri" w:hAnsi="Calibri" w:cs="Calibri"/>
          <w:b/>
          <w:bCs/>
          <w:color w:val="auto"/>
          <w:sz w:val="20"/>
        </w:rPr>
        <w:t>HEALTH RELATED INFORMATION:</w:t>
      </w:r>
      <w:r w:rsidRPr="006B2B81">
        <w:rPr>
          <w:rFonts w:ascii="Calibri" w:hAnsi="Calibri" w:cs="Calibri"/>
          <w:b/>
          <w:bCs/>
          <w:color w:val="auto"/>
          <w:sz w:val="20"/>
        </w:rPr>
        <w:t xml:space="preserve"> </w:t>
      </w:r>
    </w:p>
    <w:p w14:paraId="5482E6DB" w14:textId="77777777" w:rsidR="00D51D95" w:rsidRDefault="00D51D95" w:rsidP="00D51D95">
      <w:pPr>
        <w:widowControl w:val="0"/>
        <w:spacing w:after="0"/>
        <w:ind w:firstLine="720"/>
        <w:rPr>
          <w:rFonts w:ascii="Calibri" w:hAnsi="Calibri" w:cs="Calibri"/>
          <w:sz w:val="20"/>
        </w:rPr>
      </w:pPr>
      <w:r w:rsidRPr="006B2B81">
        <w:rPr>
          <w:rFonts w:ascii="Calibri" w:hAnsi="Calibri" w:cs="Calibri"/>
          <w:sz w:val="20"/>
        </w:rPr>
        <w:t>Some people may be more vulnerable to contaminants in drinking water than the general population.</w:t>
      </w:r>
      <w:r>
        <w:rPr>
          <w:rFonts w:ascii="Calibri" w:hAnsi="Calibri" w:cs="Calibri"/>
          <w:sz w:val="20"/>
        </w:rPr>
        <w:t xml:space="preserve"> </w:t>
      </w:r>
      <w:r w:rsidRPr="006B2B81">
        <w:rPr>
          <w:rFonts w:ascii="Calibri" w:hAnsi="Calibri" w:cs="Calibri"/>
          <w:sz w:val="20"/>
        </w:rPr>
        <w:t xml:space="preserve"> Immuno-compromised persons such as persons with cancer undergoing chemotherapy, persons who have undergone organ transplants, people with HIV/AIDS or other immune system disorders, some elderly, and infants can be particularly at risk for infections. </w:t>
      </w:r>
      <w:r>
        <w:rPr>
          <w:rFonts w:ascii="Calibri" w:hAnsi="Calibri" w:cs="Calibri"/>
          <w:sz w:val="20"/>
        </w:rPr>
        <w:t xml:space="preserve"> </w:t>
      </w:r>
      <w:r w:rsidRPr="006B2B81">
        <w:rPr>
          <w:rFonts w:ascii="Calibri" w:hAnsi="Calibri" w:cs="Calibri"/>
          <w:sz w:val="20"/>
        </w:rPr>
        <w:t xml:space="preserve">These people should seek advice about drinking water from their health care providers. </w:t>
      </w:r>
      <w:r>
        <w:rPr>
          <w:rFonts w:ascii="Calibri" w:hAnsi="Calibri" w:cs="Calibri"/>
          <w:sz w:val="20"/>
        </w:rPr>
        <w:t xml:space="preserve"> </w:t>
      </w:r>
      <w:r w:rsidRPr="006B2B81">
        <w:rPr>
          <w:rFonts w:ascii="Calibri" w:hAnsi="Calibri" w:cs="Calibri"/>
          <w:sz w:val="20"/>
        </w:rPr>
        <w:t xml:space="preserve">USEPA and Centers for Disease Control and Prevention (CDC) guidelines on appropriate means to lessen the risk of infection by </w:t>
      </w:r>
      <w:r w:rsidRPr="004655B9">
        <w:rPr>
          <w:rFonts w:ascii="Calibri" w:hAnsi="Calibri" w:cs="Calibri"/>
          <w:i/>
          <w:iCs/>
          <w:sz w:val="20"/>
        </w:rPr>
        <w:t>Cryptosporidium</w:t>
      </w:r>
      <w:r w:rsidRPr="006B2B81">
        <w:rPr>
          <w:rFonts w:ascii="Calibri" w:hAnsi="Calibri" w:cs="Calibri"/>
          <w:sz w:val="20"/>
        </w:rPr>
        <w:t xml:space="preserve"> and other microbial cont</w:t>
      </w:r>
      <w:r>
        <w:rPr>
          <w:rFonts w:ascii="Calibri" w:hAnsi="Calibri" w:cs="Calibri"/>
          <w:sz w:val="20"/>
        </w:rPr>
        <w:t>aminants are available from the</w:t>
      </w:r>
    </w:p>
    <w:p w14:paraId="3CDF5246" w14:textId="77777777" w:rsidR="00D51D95" w:rsidRPr="00CF1406" w:rsidRDefault="00D51D95" w:rsidP="00CF1406">
      <w:pPr>
        <w:widowControl w:val="0"/>
        <w:spacing w:after="0"/>
        <w:rPr>
          <w:rFonts w:ascii="Calibri" w:hAnsi="Calibri" w:cs="Calibri"/>
          <w:sz w:val="20"/>
        </w:rPr>
      </w:pPr>
      <w:r w:rsidRPr="006B2B81">
        <w:rPr>
          <w:rFonts w:ascii="Calibri" w:hAnsi="Calibri" w:cs="Calibri"/>
          <w:sz w:val="20"/>
        </w:rPr>
        <w:t xml:space="preserve">USEPA’s Safe Drinking Water Hotline at (800) 426-4791.  </w:t>
      </w:r>
    </w:p>
    <w:p w14:paraId="3AC6507A" w14:textId="77777777" w:rsidR="004F1369" w:rsidRDefault="004F1369" w:rsidP="006A1A21">
      <w:pPr>
        <w:widowControl w:val="0"/>
        <w:spacing w:after="40"/>
      </w:pPr>
    </w:p>
    <w:p w14:paraId="42E43FA9" w14:textId="77777777" w:rsidR="006F4FC9" w:rsidRDefault="006F4FC9" w:rsidP="006F4FC9">
      <w:pPr>
        <w:widowControl w:val="0"/>
        <w:spacing w:after="40"/>
        <w:rPr>
          <w:rFonts w:ascii="Calibri" w:hAnsi="Calibri" w:cs="Calibri"/>
          <w:b/>
          <w:bCs/>
          <w:color w:val="auto"/>
          <w:sz w:val="20"/>
        </w:rPr>
      </w:pPr>
      <w:r>
        <w:rPr>
          <w:rFonts w:ascii="Calibri" w:hAnsi="Calibri" w:cs="Calibri"/>
          <w:b/>
          <w:bCs/>
          <w:color w:val="auto"/>
          <w:sz w:val="20"/>
        </w:rPr>
        <w:t>LEGEND:</w:t>
      </w:r>
    </w:p>
    <w:p w14:paraId="496B0DE9"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MCL (Maximum Contaminant Level:</w:t>
      </w:r>
      <w:r w:rsidRPr="00A40477">
        <w:rPr>
          <w:rFonts w:ascii="Calibri" w:hAnsi="Calibri" w:cs="Calibri"/>
          <w:bCs/>
          <w:color w:val="auto"/>
          <w:szCs w:val="18"/>
        </w:rPr>
        <w:t xml:space="preserve">  The highest level of a contaminant that is allowed in drinking water.  Primary MCLs are set as close to the PHGs (or MCLGs) as is economically and technologically feasible.  </w:t>
      </w:r>
    </w:p>
    <w:p w14:paraId="2B01837B"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Secondary MCL</w:t>
      </w:r>
      <w:r w:rsidRPr="00A40477">
        <w:rPr>
          <w:rFonts w:ascii="Calibri" w:hAnsi="Calibri" w:cs="Calibri"/>
          <w:bCs/>
          <w:color w:val="auto"/>
          <w:szCs w:val="18"/>
        </w:rPr>
        <w:t>:  Secondary MCLs are set to protect the odor, taste, and appearance of drinking water.</w:t>
      </w:r>
    </w:p>
    <w:p w14:paraId="741DC55F"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MCLG (Maximum Contaminant Level Goal)</w:t>
      </w:r>
      <w:r w:rsidRPr="00A40477">
        <w:rPr>
          <w:rFonts w:ascii="Calibri" w:hAnsi="Calibri" w:cs="Calibri"/>
          <w:bCs/>
          <w:color w:val="auto"/>
          <w:szCs w:val="18"/>
        </w:rPr>
        <w:t>:  The level of a contaminant in drinking water below which there is no known or expected risk to health.  MCLGs are set by the U.S. Environmental Protection Agency.</w:t>
      </w:r>
    </w:p>
    <w:p w14:paraId="3529B67D"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PHG (Public Health Goal)</w:t>
      </w:r>
      <w:r w:rsidRPr="00A40477">
        <w:rPr>
          <w:rFonts w:ascii="Calibri" w:hAnsi="Calibri" w:cs="Calibri"/>
          <w:bCs/>
          <w:color w:val="auto"/>
          <w:szCs w:val="18"/>
        </w:rPr>
        <w:t>:  The level of a contaminant in drinking water below which there is no known or expected risk to health.  PHGs are set by the California Environmental Protection Agency.</w:t>
      </w:r>
    </w:p>
    <w:p w14:paraId="1C4A9F52"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PDWS (Primary Drinking Water Standard)</w:t>
      </w:r>
      <w:r w:rsidRPr="00A40477">
        <w:rPr>
          <w:rFonts w:ascii="Calibri" w:hAnsi="Calibri" w:cs="Calibri"/>
          <w:bCs/>
          <w:color w:val="auto"/>
          <w:szCs w:val="18"/>
        </w:rPr>
        <w:t>:  MCLs, MRDLs and treatment techniques (TTs) for contaminants that affect health, along with their monitoring and reporting requirements.</w:t>
      </w:r>
    </w:p>
    <w:p w14:paraId="75CED252"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MRDL (Maximum Residual Disinfectant Level)</w:t>
      </w:r>
      <w:r w:rsidRPr="00A40477">
        <w:rPr>
          <w:rFonts w:ascii="Calibri" w:hAnsi="Calibri" w:cs="Calibri"/>
          <w:bCs/>
          <w:color w:val="auto"/>
          <w:szCs w:val="18"/>
        </w:rPr>
        <w:t>:  The highest level of a disinfectant allowed in drinking water.  There is convincing evidence that addition of a disinfectant is necessary for control of microbial contaminants.</w:t>
      </w:r>
    </w:p>
    <w:p w14:paraId="1A678336" w14:textId="77777777" w:rsidR="006F4FC9" w:rsidRPr="00A40477" w:rsidRDefault="006F4FC9" w:rsidP="006F4FC9">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MRDLG  (Maximum Residual Disinfectant Level Goal)</w:t>
      </w:r>
      <w:r w:rsidRPr="00A40477">
        <w:rPr>
          <w:rFonts w:ascii="Calibri" w:hAnsi="Calibri" w:cs="Calibri"/>
          <w:bCs/>
          <w:color w:val="auto"/>
          <w:szCs w:val="18"/>
        </w:rPr>
        <w:t>:  The level of a drinking water disinfectant below which there is no known or expected risk to health.  MRDLGs do not reflect the benefits of the use of disinfectants to control microbial contaminants</w:t>
      </w:r>
      <w:r w:rsidR="00601395">
        <w:rPr>
          <w:rFonts w:ascii="Calibri" w:hAnsi="Calibri" w:cs="Calibri"/>
          <w:bCs/>
          <w:color w:val="auto"/>
          <w:szCs w:val="18"/>
        </w:rPr>
        <w:t>.</w:t>
      </w:r>
    </w:p>
    <w:p w14:paraId="102165FE"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AL &amp; NL (Regulatory Action Level or Notification Level)</w:t>
      </w:r>
      <w:r w:rsidRPr="00A40477">
        <w:rPr>
          <w:rFonts w:ascii="Calibri" w:hAnsi="Calibri" w:cs="Calibri"/>
          <w:bCs/>
          <w:color w:val="auto"/>
          <w:szCs w:val="18"/>
        </w:rPr>
        <w:t>: The concentration of a contaminant which, if exceeded, triggers treatment or other requirements that a water system must follow</w:t>
      </w:r>
      <w:r w:rsidR="00601395">
        <w:rPr>
          <w:rFonts w:ascii="Calibri" w:hAnsi="Calibri" w:cs="Calibri"/>
          <w:bCs/>
          <w:color w:val="auto"/>
          <w:szCs w:val="18"/>
        </w:rPr>
        <w:t>.</w:t>
      </w:r>
    </w:p>
    <w:p w14:paraId="6C527DAA"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TT (Treatment Technique)</w:t>
      </w:r>
      <w:r w:rsidRPr="00A40477">
        <w:rPr>
          <w:rFonts w:ascii="Calibri" w:hAnsi="Calibri" w:cs="Calibri"/>
          <w:bCs/>
          <w:color w:val="auto"/>
          <w:szCs w:val="18"/>
        </w:rPr>
        <w:t>:  A required process intended to reduce the level of a contaminant in drinking water.</w:t>
      </w:r>
    </w:p>
    <w:p w14:paraId="33ABCC08" w14:textId="7F329EE7" w:rsidR="0054104F" w:rsidRPr="001B0E83" w:rsidRDefault="00C45986" w:rsidP="0054104F">
      <w:pPr>
        <w:pStyle w:val="ListParagraph"/>
        <w:widowControl w:val="0"/>
        <w:numPr>
          <w:ilvl w:val="0"/>
          <w:numId w:val="2"/>
        </w:numPr>
        <w:spacing w:after="40"/>
        <w:rPr>
          <w:rFonts w:ascii="Calibri" w:hAnsi="Calibri" w:cs="Calibri"/>
          <w:bCs/>
          <w:color w:val="auto"/>
          <w:szCs w:val="18"/>
        </w:rPr>
      </w:pPr>
      <w:r w:rsidRPr="001B0E83">
        <w:rPr>
          <w:rFonts w:ascii="Calibri" w:hAnsi="Calibri" w:cs="Calibri"/>
          <w:b/>
          <w:bCs/>
          <w:color w:val="auto"/>
          <w:szCs w:val="18"/>
        </w:rPr>
        <w:t>NA</w:t>
      </w:r>
      <w:r w:rsidR="0054104F" w:rsidRPr="001B0E83">
        <w:rPr>
          <w:rFonts w:ascii="Calibri" w:hAnsi="Calibri" w:cs="Calibri"/>
          <w:bCs/>
          <w:color w:val="auto"/>
          <w:szCs w:val="18"/>
        </w:rPr>
        <w:t>:  Not Applicable or Not Available.</w:t>
      </w:r>
    </w:p>
    <w:p w14:paraId="60BF30B0" w14:textId="7B6A18C2" w:rsidR="0054104F" w:rsidRPr="001B0E83" w:rsidRDefault="00C45986" w:rsidP="0054104F">
      <w:pPr>
        <w:pStyle w:val="ListParagraph"/>
        <w:widowControl w:val="0"/>
        <w:numPr>
          <w:ilvl w:val="0"/>
          <w:numId w:val="2"/>
        </w:numPr>
        <w:spacing w:after="40"/>
        <w:rPr>
          <w:rFonts w:ascii="Calibri" w:hAnsi="Calibri" w:cs="Calibri"/>
          <w:bCs/>
          <w:color w:val="auto"/>
          <w:szCs w:val="18"/>
        </w:rPr>
      </w:pPr>
      <w:r w:rsidRPr="001B0E83">
        <w:rPr>
          <w:rFonts w:ascii="Calibri" w:hAnsi="Calibri" w:cs="Calibri"/>
          <w:b/>
          <w:bCs/>
          <w:color w:val="auto"/>
          <w:szCs w:val="18"/>
        </w:rPr>
        <w:t>ND</w:t>
      </w:r>
      <w:r w:rsidR="0054104F" w:rsidRPr="001B0E83">
        <w:rPr>
          <w:rFonts w:ascii="Calibri" w:hAnsi="Calibri" w:cs="Calibri"/>
          <w:bCs/>
          <w:color w:val="auto"/>
          <w:szCs w:val="18"/>
        </w:rPr>
        <w:t>:  Not Detected.</w:t>
      </w:r>
    </w:p>
    <w:p w14:paraId="21BBAB5A"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1B0E83">
        <w:rPr>
          <w:rFonts w:ascii="Calibri" w:hAnsi="Calibri" w:cs="Calibri"/>
          <w:b/>
          <w:bCs/>
          <w:color w:val="auto"/>
          <w:szCs w:val="18"/>
        </w:rPr>
        <w:t xml:space="preserve">ntu (Nephelometric </w:t>
      </w:r>
      <w:r w:rsidRPr="00A40477">
        <w:rPr>
          <w:rFonts w:ascii="Calibri" w:hAnsi="Calibri" w:cs="Calibri"/>
          <w:b/>
          <w:bCs/>
          <w:color w:val="auto"/>
          <w:szCs w:val="18"/>
        </w:rPr>
        <w:t>Turbidity Units)</w:t>
      </w:r>
      <w:r w:rsidRPr="00A40477">
        <w:rPr>
          <w:rFonts w:ascii="Calibri" w:hAnsi="Calibri" w:cs="Calibri"/>
          <w:bCs/>
          <w:color w:val="auto"/>
          <w:szCs w:val="18"/>
        </w:rPr>
        <w:t>:  Standard unit for turbidity.</w:t>
      </w:r>
    </w:p>
    <w:p w14:paraId="37A96640"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pCi/L</w:t>
      </w:r>
      <w:r w:rsidRPr="00A40477">
        <w:rPr>
          <w:rFonts w:ascii="Calibri" w:hAnsi="Calibri" w:cs="Calibri"/>
          <w:bCs/>
          <w:color w:val="auto"/>
          <w:szCs w:val="18"/>
        </w:rPr>
        <w:t>:  Picocuries per Liter.</w:t>
      </w:r>
    </w:p>
    <w:p w14:paraId="78C474D2"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µS/cm</w:t>
      </w:r>
      <w:r w:rsidRPr="00A40477">
        <w:rPr>
          <w:rFonts w:ascii="Calibri" w:hAnsi="Calibri" w:cs="Calibri"/>
          <w:bCs/>
          <w:color w:val="auto"/>
          <w:szCs w:val="18"/>
        </w:rPr>
        <w:t xml:space="preserve">:  Microsiemens </w:t>
      </w:r>
      <w:r w:rsidR="00B51401" w:rsidRPr="00A40477">
        <w:rPr>
          <w:rFonts w:ascii="Calibri" w:hAnsi="Calibri" w:cs="Calibri"/>
          <w:bCs/>
          <w:color w:val="auto"/>
          <w:szCs w:val="18"/>
        </w:rPr>
        <w:t>per</w:t>
      </w:r>
      <w:r w:rsidRPr="00A40477">
        <w:rPr>
          <w:rFonts w:ascii="Calibri" w:hAnsi="Calibri" w:cs="Calibri"/>
          <w:bCs/>
          <w:color w:val="auto"/>
          <w:szCs w:val="18"/>
        </w:rPr>
        <w:t xml:space="preserve"> Centimeter.   Unit of measure for conductance.</w:t>
      </w:r>
    </w:p>
    <w:p w14:paraId="23C298BF"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ppm</w:t>
      </w:r>
      <w:r w:rsidRPr="00A40477">
        <w:rPr>
          <w:rFonts w:ascii="Calibri" w:hAnsi="Calibri" w:cs="Calibri"/>
          <w:bCs/>
          <w:color w:val="auto"/>
          <w:szCs w:val="18"/>
        </w:rPr>
        <w:t xml:space="preserve">:  Parts </w:t>
      </w:r>
      <w:r w:rsidR="00B51401" w:rsidRPr="00A40477">
        <w:rPr>
          <w:rFonts w:ascii="Calibri" w:hAnsi="Calibri" w:cs="Calibri"/>
          <w:bCs/>
          <w:color w:val="auto"/>
          <w:szCs w:val="18"/>
        </w:rPr>
        <w:t>per</w:t>
      </w:r>
      <w:r w:rsidRPr="00A40477">
        <w:rPr>
          <w:rFonts w:ascii="Calibri" w:hAnsi="Calibri" w:cs="Calibri"/>
          <w:bCs/>
          <w:color w:val="auto"/>
          <w:szCs w:val="18"/>
        </w:rPr>
        <w:t xml:space="preserve"> Million or Milligrams </w:t>
      </w:r>
      <w:r w:rsidR="00B51401" w:rsidRPr="00A40477">
        <w:rPr>
          <w:rFonts w:ascii="Calibri" w:hAnsi="Calibri" w:cs="Calibri"/>
          <w:bCs/>
          <w:color w:val="auto"/>
          <w:szCs w:val="18"/>
        </w:rPr>
        <w:t>per</w:t>
      </w:r>
      <w:r w:rsidRPr="00A40477">
        <w:rPr>
          <w:rFonts w:ascii="Calibri" w:hAnsi="Calibri" w:cs="Calibri"/>
          <w:bCs/>
          <w:color w:val="auto"/>
          <w:szCs w:val="18"/>
        </w:rPr>
        <w:t xml:space="preserve"> Liter (mg/L).  Equivalent to 1 second in 11.5 days.</w:t>
      </w:r>
    </w:p>
    <w:p w14:paraId="7B6AA5FC" w14:textId="77777777" w:rsidR="0054104F" w:rsidRPr="00A40477" w:rsidRDefault="0054104F" w:rsidP="0054104F">
      <w:pPr>
        <w:pStyle w:val="ListParagraph"/>
        <w:widowControl w:val="0"/>
        <w:numPr>
          <w:ilvl w:val="0"/>
          <w:numId w:val="2"/>
        </w:numPr>
        <w:spacing w:after="40"/>
        <w:rPr>
          <w:rFonts w:ascii="Calibri" w:hAnsi="Calibri" w:cs="Calibri"/>
          <w:bCs/>
          <w:color w:val="auto"/>
          <w:szCs w:val="18"/>
        </w:rPr>
      </w:pPr>
      <w:r w:rsidRPr="00A40477">
        <w:rPr>
          <w:rFonts w:ascii="Calibri" w:hAnsi="Calibri" w:cs="Calibri"/>
          <w:b/>
          <w:bCs/>
          <w:color w:val="auto"/>
          <w:szCs w:val="18"/>
        </w:rPr>
        <w:t>ppb</w:t>
      </w:r>
      <w:r w:rsidRPr="00A40477">
        <w:rPr>
          <w:rFonts w:ascii="Calibri" w:hAnsi="Calibri" w:cs="Calibri"/>
          <w:bCs/>
          <w:color w:val="auto"/>
          <w:szCs w:val="18"/>
        </w:rPr>
        <w:t xml:space="preserve">:  Parts </w:t>
      </w:r>
      <w:r w:rsidR="00B51401" w:rsidRPr="00A40477">
        <w:rPr>
          <w:rFonts w:ascii="Calibri" w:hAnsi="Calibri" w:cs="Calibri"/>
          <w:bCs/>
          <w:color w:val="auto"/>
          <w:szCs w:val="18"/>
        </w:rPr>
        <w:t>per</w:t>
      </w:r>
      <w:r w:rsidRPr="00A40477">
        <w:rPr>
          <w:rFonts w:ascii="Calibri" w:hAnsi="Calibri" w:cs="Calibri"/>
          <w:bCs/>
          <w:color w:val="auto"/>
          <w:szCs w:val="18"/>
        </w:rPr>
        <w:t xml:space="preserve"> Billion or Micrograms </w:t>
      </w:r>
      <w:r w:rsidR="00B51401" w:rsidRPr="00A40477">
        <w:rPr>
          <w:rFonts w:ascii="Calibri" w:hAnsi="Calibri" w:cs="Calibri"/>
          <w:bCs/>
          <w:color w:val="auto"/>
          <w:szCs w:val="18"/>
        </w:rPr>
        <w:t>per</w:t>
      </w:r>
      <w:r w:rsidRPr="00A40477">
        <w:rPr>
          <w:rFonts w:ascii="Calibri" w:hAnsi="Calibri" w:cs="Calibri"/>
          <w:bCs/>
          <w:color w:val="auto"/>
          <w:szCs w:val="18"/>
        </w:rPr>
        <w:t xml:space="preserve"> Liter (µg/L).  Equivalent to 1 second in 32 years.  </w:t>
      </w:r>
    </w:p>
    <w:p w14:paraId="456EA324" w14:textId="77777777" w:rsidR="006F4FC9" w:rsidRDefault="006F4FC9" w:rsidP="006A1A21">
      <w:pPr>
        <w:widowControl w:val="0"/>
        <w:spacing w:after="40"/>
      </w:pPr>
    </w:p>
    <w:p w14:paraId="407579D0" w14:textId="77777777" w:rsidR="00D5627B" w:rsidRDefault="00D5627B" w:rsidP="00D5627B">
      <w:pPr>
        <w:widowControl w:val="0"/>
        <w:spacing w:after="40"/>
        <w:rPr>
          <w:rFonts w:ascii="Calibri" w:hAnsi="Calibri" w:cs="Calibri"/>
          <w:b/>
          <w:bCs/>
          <w:color w:val="auto"/>
          <w:sz w:val="20"/>
        </w:rPr>
      </w:pPr>
      <w:r>
        <w:rPr>
          <w:rFonts w:ascii="Calibri" w:hAnsi="Calibri" w:cs="Calibri"/>
          <w:b/>
          <w:bCs/>
          <w:color w:val="auto"/>
          <w:sz w:val="20"/>
        </w:rPr>
        <w:t>FOOTNOTES:</w:t>
      </w:r>
    </w:p>
    <w:p w14:paraId="75CF0351" w14:textId="292D4F2C" w:rsidR="00D5627B" w:rsidRPr="00ED1A71" w:rsidRDefault="00D5627B" w:rsidP="00A40477">
      <w:pPr>
        <w:pStyle w:val="ListParagraph"/>
        <w:widowControl w:val="0"/>
        <w:numPr>
          <w:ilvl w:val="0"/>
          <w:numId w:val="3"/>
        </w:numPr>
        <w:spacing w:after="40"/>
        <w:rPr>
          <w:rFonts w:ascii="Calibri" w:hAnsi="Calibri" w:cs="Calibri"/>
          <w:bCs/>
          <w:color w:val="auto"/>
          <w:szCs w:val="18"/>
        </w:rPr>
      </w:pPr>
      <w:r w:rsidRPr="00A40477">
        <w:rPr>
          <w:rFonts w:ascii="Calibri" w:hAnsi="Calibri" w:cs="Calibri"/>
          <w:bCs/>
          <w:color w:val="auto"/>
          <w:szCs w:val="18"/>
        </w:rPr>
        <w:t xml:space="preserve">This is the state action level for samples collected inside schools and homes.  The 90th percentile reflects the concentration of lead or copper at which 90% of the samples tested were found to have not exceeded.  </w:t>
      </w:r>
      <w:r w:rsidR="00061522" w:rsidRPr="00ED1A71">
        <w:rPr>
          <w:rFonts w:ascii="Calibri" w:hAnsi="Calibri" w:cs="Calibri"/>
          <w:bCs/>
          <w:color w:val="auto"/>
          <w:szCs w:val="18"/>
        </w:rPr>
        <w:t>Lead</w:t>
      </w:r>
      <w:r w:rsidRPr="00ED1A71">
        <w:rPr>
          <w:rFonts w:ascii="Calibri" w:hAnsi="Calibri" w:cs="Calibri"/>
          <w:bCs/>
          <w:color w:val="auto"/>
          <w:szCs w:val="18"/>
        </w:rPr>
        <w:t xml:space="preserve"> and copper results are from</w:t>
      </w:r>
      <w:r w:rsidR="007B36B4" w:rsidRPr="00ED1A71">
        <w:rPr>
          <w:rFonts w:ascii="Calibri" w:hAnsi="Calibri" w:cs="Calibri"/>
          <w:bCs/>
          <w:color w:val="auto"/>
          <w:szCs w:val="18"/>
        </w:rPr>
        <w:t xml:space="preserve"> </w:t>
      </w:r>
      <w:r w:rsidR="00CA2BFC">
        <w:rPr>
          <w:rFonts w:ascii="Calibri" w:hAnsi="Calibri" w:cs="Calibri"/>
          <w:bCs/>
          <w:color w:val="auto"/>
          <w:szCs w:val="18"/>
        </w:rPr>
        <w:t>August 2025</w:t>
      </w:r>
      <w:r w:rsidRPr="00ED1A71">
        <w:rPr>
          <w:rFonts w:ascii="Calibri" w:hAnsi="Calibri" w:cs="Calibri"/>
          <w:bCs/>
          <w:color w:val="auto"/>
          <w:szCs w:val="18"/>
        </w:rPr>
        <w:t>.</w:t>
      </w:r>
    </w:p>
    <w:p w14:paraId="21BF23B4" w14:textId="77777777" w:rsidR="00A40477" w:rsidRPr="00A40477" w:rsidRDefault="00A40477" w:rsidP="00A40477">
      <w:pPr>
        <w:pStyle w:val="ListParagraph"/>
        <w:widowControl w:val="0"/>
        <w:numPr>
          <w:ilvl w:val="0"/>
          <w:numId w:val="3"/>
        </w:numPr>
        <w:spacing w:after="40"/>
        <w:rPr>
          <w:rFonts w:ascii="Calibri" w:hAnsi="Calibri" w:cs="Calibri"/>
          <w:bCs/>
          <w:color w:val="auto"/>
          <w:szCs w:val="18"/>
        </w:rPr>
      </w:pPr>
      <w:r w:rsidRPr="00A40477">
        <w:rPr>
          <w:rFonts w:ascii="Calibri" w:hAnsi="Calibri" w:cs="Calibri"/>
          <w:bCs/>
          <w:color w:val="auto"/>
          <w:szCs w:val="18"/>
        </w:rPr>
        <w:t>There are no drinking water standards (MCLs, PHGs or MCLGs) for these constituents, they are just reported for customer information.  To convert hardness data from ppm to grains per gallon, divide by 17.</w:t>
      </w:r>
    </w:p>
    <w:p w14:paraId="3CC96BCF" w14:textId="77777777" w:rsidR="00A40477" w:rsidRPr="00A40477" w:rsidRDefault="00A40477" w:rsidP="00A40477">
      <w:pPr>
        <w:pStyle w:val="ListParagraph"/>
        <w:widowControl w:val="0"/>
        <w:numPr>
          <w:ilvl w:val="0"/>
          <w:numId w:val="3"/>
        </w:numPr>
        <w:spacing w:after="40"/>
        <w:rPr>
          <w:rFonts w:ascii="Calibri" w:hAnsi="Calibri" w:cs="Calibri"/>
          <w:bCs/>
          <w:color w:val="auto"/>
          <w:szCs w:val="18"/>
        </w:rPr>
      </w:pPr>
      <w:r w:rsidRPr="00A40477">
        <w:rPr>
          <w:rFonts w:ascii="Calibri" w:hAnsi="Calibri" w:cs="Calibri"/>
          <w:bCs/>
          <w:color w:val="auto"/>
          <w:szCs w:val="18"/>
        </w:rPr>
        <w:t>There are no PHGs, MCLGs or mandatory standard health effects language for these constituents because secondary MCLs are set on the basis of aesthetics.</w:t>
      </w:r>
    </w:p>
    <w:p w14:paraId="71B4D46D" w14:textId="69B0C398" w:rsidR="006B2B81" w:rsidRDefault="00A40477" w:rsidP="006A1A21">
      <w:pPr>
        <w:pStyle w:val="ListParagraph"/>
        <w:widowControl w:val="0"/>
        <w:numPr>
          <w:ilvl w:val="0"/>
          <w:numId w:val="3"/>
        </w:numPr>
        <w:spacing w:after="40"/>
        <w:rPr>
          <w:rFonts w:ascii="Calibri" w:hAnsi="Calibri" w:cs="Calibri"/>
          <w:bCs/>
          <w:color w:val="auto"/>
          <w:szCs w:val="18"/>
        </w:rPr>
      </w:pPr>
      <w:r w:rsidRPr="00A40477">
        <w:rPr>
          <w:rFonts w:ascii="Calibri" w:hAnsi="Calibri" w:cs="Calibri"/>
          <w:bCs/>
          <w:color w:val="auto"/>
          <w:szCs w:val="18"/>
        </w:rPr>
        <w:t>Turbidity is a measure of the cloudiness of the water.  We monitor it because it is a good indicator of water quality.  High turbidity can hinder the effectiveness of disinfectants.</w:t>
      </w:r>
    </w:p>
    <w:p w14:paraId="3B9DB27D" w14:textId="77777777" w:rsidR="00877E5B" w:rsidRPr="00877E5B" w:rsidRDefault="00877E5B" w:rsidP="00877E5B">
      <w:pPr>
        <w:pStyle w:val="ListParagraph"/>
        <w:widowControl w:val="0"/>
        <w:spacing w:after="40"/>
        <w:rPr>
          <w:rFonts w:ascii="Calibri" w:hAnsi="Calibri" w:cs="Calibri"/>
          <w:bCs/>
          <w:color w:val="auto"/>
          <w:szCs w:val="18"/>
        </w:rPr>
      </w:pPr>
    </w:p>
    <w:p w14:paraId="4146560E" w14:textId="77777777" w:rsidR="006A1A21" w:rsidRPr="006A1A21" w:rsidRDefault="006A1A21" w:rsidP="006A1A21">
      <w:pPr>
        <w:widowControl w:val="0"/>
        <w:spacing w:after="40"/>
        <w:rPr>
          <w:rFonts w:ascii="Calibri" w:hAnsi="Calibri" w:cs="Calibri"/>
          <w:b/>
          <w:bCs/>
          <w:color w:val="auto"/>
          <w:sz w:val="20"/>
        </w:rPr>
      </w:pPr>
      <w:r w:rsidRPr="006A1A21">
        <w:rPr>
          <w:rFonts w:ascii="Calibri" w:hAnsi="Calibri" w:cs="Calibri"/>
          <w:b/>
          <w:bCs/>
          <w:color w:val="auto"/>
          <w:sz w:val="20"/>
        </w:rPr>
        <w:t>POLICY ON NONDISCRIMINATION ON THE BASIS OF DISABILITY</w:t>
      </w:r>
      <w:r>
        <w:rPr>
          <w:rFonts w:ascii="Calibri" w:hAnsi="Calibri" w:cs="Calibri"/>
          <w:b/>
          <w:bCs/>
          <w:color w:val="auto"/>
          <w:sz w:val="20"/>
        </w:rPr>
        <w:t>:</w:t>
      </w:r>
    </w:p>
    <w:p w14:paraId="426025B0" w14:textId="73E406C3" w:rsidR="00C75C2F" w:rsidRDefault="006A1A21" w:rsidP="00377688">
      <w:pPr>
        <w:widowControl w:val="0"/>
        <w:spacing w:after="40"/>
        <w:ind w:firstLine="720"/>
        <w:rPr>
          <w:rFonts w:ascii="Calibri" w:hAnsi="Calibri" w:cs="Calibri"/>
          <w:sz w:val="20"/>
        </w:rPr>
      </w:pPr>
      <w:r w:rsidRPr="006A1A21">
        <w:rPr>
          <w:rFonts w:ascii="Calibri" w:hAnsi="Calibri" w:cs="Calibri"/>
          <w:sz w:val="20"/>
        </w:rPr>
        <w:t>In accordance with the requirements of Title II of the Americans with Disabilities Act of 1990, the City of V</w:t>
      </w:r>
      <w:r>
        <w:rPr>
          <w:rFonts w:ascii="Calibri" w:hAnsi="Calibri" w:cs="Calibri"/>
          <w:sz w:val="20"/>
        </w:rPr>
        <w:t xml:space="preserve">acaville (City) </w:t>
      </w:r>
      <w:r w:rsidRPr="006A1A21">
        <w:rPr>
          <w:rFonts w:ascii="Calibri" w:hAnsi="Calibri" w:cs="Calibri"/>
          <w:sz w:val="20"/>
        </w:rPr>
        <w:t xml:space="preserve">does not discriminate against qualified individuals with disabilities on the basis of disability in the City’s services, programs, activities, or employment.  Information,  comments,  requests  for </w:t>
      </w:r>
      <w:r w:rsidR="00212A79" w:rsidRPr="006A1A21">
        <w:rPr>
          <w:rFonts w:ascii="Calibri" w:hAnsi="Calibri" w:cs="Calibri"/>
          <w:sz w:val="20"/>
        </w:rPr>
        <w:t>accommodation</w:t>
      </w:r>
      <w:r w:rsidRPr="006A1A21">
        <w:rPr>
          <w:rFonts w:ascii="Calibri" w:hAnsi="Calibri" w:cs="Calibri"/>
          <w:sz w:val="20"/>
        </w:rPr>
        <w:t xml:space="preserve"> or barrier removal, and/or</w:t>
      </w:r>
      <w:r>
        <w:rPr>
          <w:rFonts w:ascii="Calibri" w:hAnsi="Calibri" w:cs="Calibri"/>
          <w:sz w:val="20"/>
        </w:rPr>
        <w:t xml:space="preserve"> complaints concerning the </w:t>
      </w:r>
      <w:r w:rsidRPr="006A1A21">
        <w:rPr>
          <w:rFonts w:ascii="Calibri" w:hAnsi="Calibri" w:cs="Calibri"/>
          <w:sz w:val="20"/>
        </w:rPr>
        <w:t>accessibility of City programs, services or activities to persons with disabilities should be directed to the City’s ADA Coordinator, 650 Merchant Street, (707) 449-5409 or (707) 449-5162 (TTY).</w:t>
      </w:r>
    </w:p>
    <w:p w14:paraId="7D92992A" w14:textId="77777777" w:rsidR="00377688" w:rsidRDefault="00377688" w:rsidP="00377688">
      <w:pPr>
        <w:widowControl w:val="0"/>
        <w:spacing w:after="40"/>
        <w:ind w:firstLine="720"/>
        <w:rPr>
          <w:rFonts w:ascii="Calibri" w:hAnsi="Calibri" w:cs="Calibri"/>
          <w:sz w:val="20"/>
        </w:rPr>
      </w:pPr>
    </w:p>
    <w:tbl>
      <w:tblPr>
        <w:tblStyle w:val="TableGrid"/>
        <w:tblW w:w="0" w:type="auto"/>
        <w:tblInd w:w="648" w:type="dxa"/>
        <w:tblLook w:val="04A0" w:firstRow="1" w:lastRow="0" w:firstColumn="1" w:lastColumn="0" w:noHBand="0" w:noVBand="1"/>
      </w:tblPr>
      <w:tblGrid>
        <w:gridCol w:w="5400"/>
        <w:gridCol w:w="4596"/>
      </w:tblGrid>
      <w:tr w:rsidR="00C75C2F" w14:paraId="6E7049C8" w14:textId="77777777" w:rsidTr="003E6610">
        <w:trPr>
          <w:trHeight w:val="2988"/>
        </w:trPr>
        <w:tc>
          <w:tcPr>
            <w:tcW w:w="5400" w:type="dxa"/>
            <w:tcBorders>
              <w:top w:val="nil"/>
              <w:left w:val="nil"/>
              <w:bottom w:val="nil"/>
              <w:right w:val="nil"/>
            </w:tcBorders>
          </w:tcPr>
          <w:p w14:paraId="7C0AE45A" w14:textId="77777777" w:rsidR="00C75C2F" w:rsidRDefault="00C75C2F" w:rsidP="003B3F57">
            <w:pPr>
              <w:widowControl w:val="0"/>
              <w:spacing w:after="40"/>
              <w:rPr>
                <w:rFonts w:ascii="Calibri" w:hAnsi="Calibri" w:cs="Calibri"/>
                <w:b/>
                <w:bCs/>
                <w:color w:val="0033CC"/>
                <w:sz w:val="20"/>
              </w:rPr>
            </w:pPr>
            <w:r>
              <w:rPr>
                <w:rFonts w:ascii="Calibri" w:hAnsi="Calibri" w:cs="Calibri"/>
                <w:b/>
                <w:bCs/>
                <w:noProof/>
                <w:color w:val="0033CC"/>
                <w:sz w:val="20"/>
              </w:rPr>
              <w:drawing>
                <wp:inline distT="0" distB="0" distL="0" distR="0" wp14:anchorId="5198938B" wp14:editId="11C3B49D">
                  <wp:extent cx="2914650" cy="1952625"/>
                  <wp:effectExtent l="0" t="0" r="0" b="0"/>
                  <wp:docPr id="8" name="Picture 8" descr="Photograph of Easterly reserv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tograph of Easterly reservo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4650" cy="1952625"/>
                          </a:xfrm>
                          <a:prstGeom prst="rect">
                            <a:avLst/>
                          </a:prstGeom>
                          <a:noFill/>
                        </pic:spPr>
                      </pic:pic>
                    </a:graphicData>
                  </a:graphic>
                </wp:inline>
              </w:drawing>
            </w:r>
          </w:p>
        </w:tc>
        <w:tc>
          <w:tcPr>
            <w:tcW w:w="4596" w:type="dxa"/>
            <w:tcBorders>
              <w:top w:val="nil"/>
              <w:left w:val="nil"/>
              <w:bottom w:val="nil"/>
              <w:right w:val="nil"/>
            </w:tcBorders>
          </w:tcPr>
          <w:p w14:paraId="48E759E4" w14:textId="77777777" w:rsidR="00C75C2F" w:rsidRDefault="00C75C2F" w:rsidP="003B3F57">
            <w:pPr>
              <w:widowControl w:val="0"/>
              <w:spacing w:after="40"/>
              <w:rPr>
                <w:rFonts w:ascii="Calibri" w:hAnsi="Calibri" w:cs="Calibri"/>
                <w:b/>
                <w:bCs/>
                <w:color w:val="0033CC"/>
                <w:sz w:val="20"/>
              </w:rPr>
            </w:pPr>
            <w:r>
              <w:rPr>
                <w:rFonts w:ascii="Calibri" w:hAnsi="Calibri" w:cs="Calibri"/>
                <w:b/>
                <w:bCs/>
                <w:noProof/>
                <w:color w:val="0033CC"/>
                <w:sz w:val="20"/>
              </w:rPr>
              <w:drawing>
                <wp:inline distT="0" distB="0" distL="0" distR="0" wp14:anchorId="57852109" wp14:editId="67053632">
                  <wp:extent cx="2781300" cy="1952246"/>
                  <wp:effectExtent l="0" t="0" r="0" b="0"/>
                  <wp:docPr id="9" name="Picture 9" descr="Map of the Easterly PWS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 of the Easterly PWS syste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3928" cy="2052359"/>
                          </a:xfrm>
                          <a:prstGeom prst="rect">
                            <a:avLst/>
                          </a:prstGeom>
                          <a:noFill/>
                        </pic:spPr>
                      </pic:pic>
                    </a:graphicData>
                  </a:graphic>
                </wp:inline>
              </w:drawing>
            </w:r>
          </w:p>
        </w:tc>
      </w:tr>
    </w:tbl>
    <w:p w14:paraId="64CB6235" w14:textId="77777777" w:rsidR="00EA5EB8" w:rsidRPr="002C631D" w:rsidRDefault="00EA5EB8" w:rsidP="002C631D">
      <w:pPr>
        <w:widowControl w:val="0"/>
      </w:pPr>
    </w:p>
    <w:sectPr w:rsidR="00EA5EB8" w:rsidRPr="002C631D" w:rsidSect="004F1369">
      <w:pgSz w:w="12240" w:h="20160" w:code="5"/>
      <w:pgMar w:top="432" w:right="576" w:bottom="245"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ABE"/>
    <w:multiLevelType w:val="hybridMultilevel"/>
    <w:tmpl w:val="EA125D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36ED5"/>
    <w:multiLevelType w:val="hybridMultilevel"/>
    <w:tmpl w:val="694CF2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DE943F0"/>
    <w:multiLevelType w:val="hybridMultilevel"/>
    <w:tmpl w:val="18B2B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4F65A8"/>
    <w:multiLevelType w:val="hybridMultilevel"/>
    <w:tmpl w:val="1DBC118C"/>
    <w:lvl w:ilvl="0" w:tplc="61D82C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7054158">
    <w:abstractNumId w:val="1"/>
  </w:num>
  <w:num w:numId="2" w16cid:durableId="831063135">
    <w:abstractNumId w:val="2"/>
  </w:num>
  <w:num w:numId="3" w16cid:durableId="2121101645">
    <w:abstractNumId w:val="3"/>
  </w:num>
  <w:num w:numId="4" w16cid:durableId="20592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2C"/>
    <w:rsid w:val="00017A72"/>
    <w:rsid w:val="00040189"/>
    <w:rsid w:val="00061522"/>
    <w:rsid w:val="000705C2"/>
    <w:rsid w:val="000A61EF"/>
    <w:rsid w:val="000B44BB"/>
    <w:rsid w:val="000E1A2C"/>
    <w:rsid w:val="001078D6"/>
    <w:rsid w:val="00125E83"/>
    <w:rsid w:val="001860A4"/>
    <w:rsid w:val="001A3118"/>
    <w:rsid w:val="001B0E83"/>
    <w:rsid w:val="001C176C"/>
    <w:rsid w:val="001F0BC2"/>
    <w:rsid w:val="00212A79"/>
    <w:rsid w:val="00217D42"/>
    <w:rsid w:val="00250FD2"/>
    <w:rsid w:val="00270D6C"/>
    <w:rsid w:val="00281B9A"/>
    <w:rsid w:val="002A1981"/>
    <w:rsid w:val="002C6289"/>
    <w:rsid w:val="002C631D"/>
    <w:rsid w:val="002D08CA"/>
    <w:rsid w:val="00344B9F"/>
    <w:rsid w:val="00363F97"/>
    <w:rsid w:val="00372EEF"/>
    <w:rsid w:val="00377688"/>
    <w:rsid w:val="00392D22"/>
    <w:rsid w:val="00396BF1"/>
    <w:rsid w:val="003B3BF7"/>
    <w:rsid w:val="003B3F57"/>
    <w:rsid w:val="003E3EA5"/>
    <w:rsid w:val="003E3F19"/>
    <w:rsid w:val="003E60FF"/>
    <w:rsid w:val="003E6610"/>
    <w:rsid w:val="0041383C"/>
    <w:rsid w:val="004322DC"/>
    <w:rsid w:val="00433D1F"/>
    <w:rsid w:val="00441062"/>
    <w:rsid w:val="004655B9"/>
    <w:rsid w:val="00493F7B"/>
    <w:rsid w:val="00495225"/>
    <w:rsid w:val="004E5A3B"/>
    <w:rsid w:val="004F1369"/>
    <w:rsid w:val="004F6C3B"/>
    <w:rsid w:val="00507058"/>
    <w:rsid w:val="00534B4C"/>
    <w:rsid w:val="0054104F"/>
    <w:rsid w:val="005410B5"/>
    <w:rsid w:val="0058481F"/>
    <w:rsid w:val="00584C2E"/>
    <w:rsid w:val="005B64A2"/>
    <w:rsid w:val="005C53DB"/>
    <w:rsid w:val="005C65E7"/>
    <w:rsid w:val="005F5971"/>
    <w:rsid w:val="00601395"/>
    <w:rsid w:val="00611D54"/>
    <w:rsid w:val="00642225"/>
    <w:rsid w:val="006A1A21"/>
    <w:rsid w:val="006B2B81"/>
    <w:rsid w:val="006C2EBE"/>
    <w:rsid w:val="006F4FC9"/>
    <w:rsid w:val="00723B79"/>
    <w:rsid w:val="00735A4F"/>
    <w:rsid w:val="00771F9D"/>
    <w:rsid w:val="00775A91"/>
    <w:rsid w:val="007820FF"/>
    <w:rsid w:val="007869E6"/>
    <w:rsid w:val="007B36B4"/>
    <w:rsid w:val="007D1709"/>
    <w:rsid w:val="007D7C7F"/>
    <w:rsid w:val="007F6765"/>
    <w:rsid w:val="00803EC3"/>
    <w:rsid w:val="00806566"/>
    <w:rsid w:val="0081798C"/>
    <w:rsid w:val="00821A02"/>
    <w:rsid w:val="00860CB3"/>
    <w:rsid w:val="00870995"/>
    <w:rsid w:val="00877E5B"/>
    <w:rsid w:val="008A5169"/>
    <w:rsid w:val="008B65F4"/>
    <w:rsid w:val="008C5A60"/>
    <w:rsid w:val="008D56CC"/>
    <w:rsid w:val="008E180F"/>
    <w:rsid w:val="008E1BDB"/>
    <w:rsid w:val="00940F55"/>
    <w:rsid w:val="009515D8"/>
    <w:rsid w:val="00961DA4"/>
    <w:rsid w:val="00977673"/>
    <w:rsid w:val="009A6DB2"/>
    <w:rsid w:val="009C7AF3"/>
    <w:rsid w:val="009E673B"/>
    <w:rsid w:val="009F06FA"/>
    <w:rsid w:val="00A075F5"/>
    <w:rsid w:val="00A144E6"/>
    <w:rsid w:val="00A40477"/>
    <w:rsid w:val="00A54081"/>
    <w:rsid w:val="00A95BE6"/>
    <w:rsid w:val="00AB1343"/>
    <w:rsid w:val="00B026F7"/>
    <w:rsid w:val="00B31D69"/>
    <w:rsid w:val="00B35443"/>
    <w:rsid w:val="00B51401"/>
    <w:rsid w:val="00B63233"/>
    <w:rsid w:val="00B6519D"/>
    <w:rsid w:val="00B72EF6"/>
    <w:rsid w:val="00B77368"/>
    <w:rsid w:val="00B871B5"/>
    <w:rsid w:val="00B9276A"/>
    <w:rsid w:val="00BA0FC5"/>
    <w:rsid w:val="00BD1723"/>
    <w:rsid w:val="00C026E4"/>
    <w:rsid w:val="00C25074"/>
    <w:rsid w:val="00C412DB"/>
    <w:rsid w:val="00C45986"/>
    <w:rsid w:val="00C466D3"/>
    <w:rsid w:val="00C75C2F"/>
    <w:rsid w:val="00CA2BFC"/>
    <w:rsid w:val="00CA6A29"/>
    <w:rsid w:val="00CB79EB"/>
    <w:rsid w:val="00CC6F1C"/>
    <w:rsid w:val="00CF1406"/>
    <w:rsid w:val="00CF174D"/>
    <w:rsid w:val="00D46A97"/>
    <w:rsid w:val="00D51D95"/>
    <w:rsid w:val="00D5627B"/>
    <w:rsid w:val="00D57555"/>
    <w:rsid w:val="00DA118E"/>
    <w:rsid w:val="00DD5BE0"/>
    <w:rsid w:val="00DE5838"/>
    <w:rsid w:val="00DE77CA"/>
    <w:rsid w:val="00DF54AE"/>
    <w:rsid w:val="00E00E32"/>
    <w:rsid w:val="00E5424C"/>
    <w:rsid w:val="00E81667"/>
    <w:rsid w:val="00E81AD5"/>
    <w:rsid w:val="00E83A36"/>
    <w:rsid w:val="00E92A38"/>
    <w:rsid w:val="00E97DA7"/>
    <w:rsid w:val="00EA5EB8"/>
    <w:rsid w:val="00EC5271"/>
    <w:rsid w:val="00EC6EE8"/>
    <w:rsid w:val="00ED1A71"/>
    <w:rsid w:val="00EE185B"/>
    <w:rsid w:val="00F00D60"/>
    <w:rsid w:val="00F072C0"/>
    <w:rsid w:val="00F1423D"/>
    <w:rsid w:val="00F15F58"/>
    <w:rsid w:val="00F2605C"/>
    <w:rsid w:val="00F32745"/>
    <w:rsid w:val="00F44C0E"/>
    <w:rsid w:val="00F717A2"/>
    <w:rsid w:val="00F96131"/>
    <w:rsid w:val="00FB4232"/>
    <w:rsid w:val="00FC1E90"/>
    <w:rsid w:val="00FC31BE"/>
    <w:rsid w:val="00FC3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3FA2D"/>
  <w15:docId w15:val="{E2D785BB-13B9-4573-8E07-446550DB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A2C"/>
    <w:pPr>
      <w:spacing w:after="120" w:line="264" w:lineRule="auto"/>
    </w:pPr>
    <w:rPr>
      <w:rFonts w:ascii="Franklin Gothic Book" w:eastAsia="Times New Roman" w:hAnsi="Franklin Gothic Book" w:cs="Times New Roman"/>
      <w:color w:val="000000"/>
      <w:kern w:val="28"/>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2DA"/>
    <w:pPr>
      <w:ind w:left="720"/>
      <w:contextualSpacing/>
    </w:pPr>
  </w:style>
  <w:style w:type="paragraph" w:styleId="BalloonText">
    <w:name w:val="Balloon Text"/>
    <w:basedOn w:val="Normal"/>
    <w:link w:val="BalloonTextChar"/>
    <w:uiPriority w:val="99"/>
    <w:semiHidden/>
    <w:unhideWhenUsed/>
    <w:rsid w:val="00D51D95"/>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51D95"/>
    <w:rPr>
      <w:rFonts w:ascii="Segoe UI" w:eastAsia="Times New Roman" w:hAnsi="Segoe UI" w:cs="Segoe UI"/>
      <w:color w:val="000000"/>
      <w:kern w:val="28"/>
      <w:sz w:val="18"/>
      <w:szCs w:val="18"/>
    </w:rPr>
  </w:style>
  <w:style w:type="table" w:styleId="TableGrid">
    <w:name w:val="Table Grid"/>
    <w:basedOn w:val="TableNormal"/>
    <w:uiPriority w:val="39"/>
    <w:rsid w:val="00D51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1502">
      <w:bodyDiv w:val="1"/>
      <w:marLeft w:val="0"/>
      <w:marRight w:val="0"/>
      <w:marTop w:val="0"/>
      <w:marBottom w:val="0"/>
      <w:divBdr>
        <w:top w:val="none" w:sz="0" w:space="0" w:color="auto"/>
        <w:left w:val="none" w:sz="0" w:space="0" w:color="auto"/>
        <w:bottom w:val="none" w:sz="0" w:space="0" w:color="auto"/>
        <w:right w:val="none" w:sz="0" w:space="0" w:color="auto"/>
      </w:divBdr>
    </w:div>
    <w:div w:id="68625171">
      <w:bodyDiv w:val="1"/>
      <w:marLeft w:val="0"/>
      <w:marRight w:val="0"/>
      <w:marTop w:val="0"/>
      <w:marBottom w:val="0"/>
      <w:divBdr>
        <w:top w:val="none" w:sz="0" w:space="0" w:color="auto"/>
        <w:left w:val="none" w:sz="0" w:space="0" w:color="auto"/>
        <w:bottom w:val="none" w:sz="0" w:space="0" w:color="auto"/>
        <w:right w:val="none" w:sz="0" w:space="0" w:color="auto"/>
      </w:divBdr>
    </w:div>
    <w:div w:id="590435461">
      <w:bodyDiv w:val="1"/>
      <w:marLeft w:val="0"/>
      <w:marRight w:val="0"/>
      <w:marTop w:val="0"/>
      <w:marBottom w:val="0"/>
      <w:divBdr>
        <w:top w:val="none" w:sz="0" w:space="0" w:color="auto"/>
        <w:left w:val="none" w:sz="0" w:space="0" w:color="auto"/>
        <w:bottom w:val="none" w:sz="0" w:space="0" w:color="auto"/>
        <w:right w:val="none" w:sz="0" w:space="0" w:color="auto"/>
      </w:divBdr>
    </w:div>
    <w:div w:id="924150496">
      <w:bodyDiv w:val="1"/>
      <w:marLeft w:val="0"/>
      <w:marRight w:val="0"/>
      <w:marTop w:val="0"/>
      <w:marBottom w:val="0"/>
      <w:divBdr>
        <w:top w:val="none" w:sz="0" w:space="0" w:color="auto"/>
        <w:left w:val="none" w:sz="0" w:space="0" w:color="auto"/>
        <w:bottom w:val="none" w:sz="0" w:space="0" w:color="auto"/>
        <w:right w:val="none" w:sz="0" w:space="0" w:color="auto"/>
      </w:divBdr>
    </w:div>
    <w:div w:id="984092766">
      <w:bodyDiv w:val="1"/>
      <w:marLeft w:val="0"/>
      <w:marRight w:val="0"/>
      <w:marTop w:val="0"/>
      <w:marBottom w:val="0"/>
      <w:divBdr>
        <w:top w:val="none" w:sz="0" w:space="0" w:color="auto"/>
        <w:left w:val="none" w:sz="0" w:space="0" w:color="auto"/>
        <w:bottom w:val="none" w:sz="0" w:space="0" w:color="auto"/>
        <w:right w:val="none" w:sz="0" w:space="0" w:color="auto"/>
      </w:divBdr>
    </w:div>
    <w:div w:id="1088379454">
      <w:bodyDiv w:val="1"/>
      <w:marLeft w:val="0"/>
      <w:marRight w:val="0"/>
      <w:marTop w:val="0"/>
      <w:marBottom w:val="0"/>
      <w:divBdr>
        <w:top w:val="none" w:sz="0" w:space="0" w:color="auto"/>
        <w:left w:val="none" w:sz="0" w:space="0" w:color="auto"/>
        <w:bottom w:val="none" w:sz="0" w:space="0" w:color="auto"/>
        <w:right w:val="none" w:sz="0" w:space="0" w:color="auto"/>
      </w:divBdr>
    </w:div>
    <w:div w:id="1460997350">
      <w:bodyDiv w:val="1"/>
      <w:marLeft w:val="0"/>
      <w:marRight w:val="0"/>
      <w:marTop w:val="0"/>
      <w:marBottom w:val="0"/>
      <w:divBdr>
        <w:top w:val="none" w:sz="0" w:space="0" w:color="auto"/>
        <w:left w:val="none" w:sz="0" w:space="0" w:color="auto"/>
        <w:bottom w:val="none" w:sz="0" w:space="0" w:color="auto"/>
        <w:right w:val="none" w:sz="0" w:space="0" w:color="auto"/>
      </w:divBdr>
    </w:div>
    <w:div w:id="1508590855">
      <w:bodyDiv w:val="1"/>
      <w:marLeft w:val="0"/>
      <w:marRight w:val="0"/>
      <w:marTop w:val="0"/>
      <w:marBottom w:val="0"/>
      <w:divBdr>
        <w:top w:val="none" w:sz="0" w:space="0" w:color="auto"/>
        <w:left w:val="none" w:sz="0" w:space="0" w:color="auto"/>
        <w:bottom w:val="none" w:sz="0" w:space="0" w:color="auto"/>
        <w:right w:val="none" w:sz="0" w:space="0" w:color="auto"/>
      </w:divBdr>
    </w:div>
    <w:div w:id="1554274630">
      <w:bodyDiv w:val="1"/>
      <w:marLeft w:val="0"/>
      <w:marRight w:val="0"/>
      <w:marTop w:val="0"/>
      <w:marBottom w:val="0"/>
      <w:divBdr>
        <w:top w:val="none" w:sz="0" w:space="0" w:color="auto"/>
        <w:left w:val="none" w:sz="0" w:space="0" w:color="auto"/>
        <w:bottom w:val="none" w:sz="0" w:space="0" w:color="auto"/>
        <w:right w:val="none" w:sz="0" w:space="0" w:color="auto"/>
      </w:divBdr>
    </w:div>
    <w:div w:id="165433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safewater/lead" TargetMode="Externa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118D3-A5C4-4B12-94E2-F59C253BB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1727</Words>
  <Characters>9848</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City of Vacaville</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Torres</dc:creator>
  <cp:lastModifiedBy>Mindy Boele</cp:lastModifiedBy>
  <cp:revision>2</cp:revision>
  <cp:lastPrinted>2026-06-15T13:46:00Z</cp:lastPrinted>
  <dcterms:created xsi:type="dcterms:W3CDTF">2026-06-30T20:38:00Z</dcterms:created>
  <dcterms:modified xsi:type="dcterms:W3CDTF">2026-06-30T20:38:00Z</dcterms:modified>
</cp:coreProperties>
</file>