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01B0131" w:rsidR="005879C4" w:rsidRPr="000A759E" w:rsidRDefault="00EA24BD" w:rsidP="005D5750">
            <w:pPr>
              <w:spacing w:before="40" w:after="40"/>
              <w:jc w:val="both"/>
              <w:rPr>
                <w:rFonts w:ascii="Arial" w:hAnsi="Arial" w:cs="Arial"/>
                <w:sz w:val="24"/>
                <w:szCs w:val="24"/>
              </w:rPr>
            </w:pPr>
            <w:r>
              <w:rPr>
                <w:rFonts w:ascii="Arial" w:hAnsi="Arial" w:cs="Arial"/>
                <w:sz w:val="24"/>
                <w:szCs w:val="24"/>
              </w:rPr>
              <w:t>Warner Springs Estates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A712410"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EA24BD">
              <w:rPr>
                <w:rFonts w:ascii="Arial" w:hAnsi="Arial" w:cs="Arial"/>
                <w:b/>
                <w:bCs/>
                <w:sz w:val="24"/>
                <w:szCs w:val="24"/>
              </w:rPr>
              <w:t>3702354</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BFA11E"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77A" w14:textId="77777777" w:rsidR="00CF7D9B" w:rsidRDefault="00CF7D9B">
      <w:r>
        <w:separator/>
      </w:r>
    </w:p>
  </w:endnote>
  <w:endnote w:type="continuationSeparator" w:id="0">
    <w:p w14:paraId="1BA071E1" w14:textId="77777777" w:rsidR="00CF7D9B" w:rsidRDefault="00CF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2E22" w14:textId="77777777" w:rsidR="00CF7D9B" w:rsidRDefault="00CF7D9B">
      <w:r>
        <w:separator/>
      </w:r>
    </w:p>
  </w:footnote>
  <w:footnote w:type="continuationSeparator" w:id="0">
    <w:p w14:paraId="045AA6B0" w14:textId="77777777" w:rsidR="00CF7D9B" w:rsidRDefault="00CF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33462"/>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CF7D9B"/>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A24BD"/>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2431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2025-10-24T00:58:00Z</dcterms:created>
  <dcterms:modified xsi:type="dcterms:W3CDTF">2025-10-24T00:58:00Z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