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D615CE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278D0">
        <w:rPr>
          <w:rFonts w:ascii="Arial" w:hAnsi="Arial" w:cs="Arial"/>
          <w:sz w:val="24"/>
          <w:szCs w:val="24"/>
        </w:rPr>
        <w:t>Lucerne Valley High School-3601095</w:t>
      </w:r>
      <w:r w:rsidR="00ED7919" w:rsidRPr="007119B8">
        <w:rPr>
          <w:rFonts w:ascii="Arial" w:hAnsi="Arial" w:cs="Arial"/>
          <w:sz w:val="24"/>
          <w:szCs w:val="24"/>
        </w:rPr>
        <w:t>]</w:t>
      </w:r>
      <w:r w:rsidR="00494C7A">
        <w:rPr>
          <w:rFonts w:ascii="Arial" w:hAnsi="Arial" w:cs="Arial"/>
          <w:sz w:val="24"/>
          <w:szCs w:val="24"/>
        </w:rPr>
        <w:t xml:space="preserve"> </w:t>
      </w:r>
    </w:p>
    <w:p w14:paraId="65A99AB1" w14:textId="68E38F4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278D0">
        <w:rPr>
          <w:rFonts w:ascii="Arial" w:hAnsi="Arial" w:cs="Arial"/>
          <w:sz w:val="24"/>
          <w:szCs w:val="24"/>
        </w:rPr>
        <w:t>06/01/2021</w:t>
      </w:r>
      <w:r w:rsidRPr="007119B8">
        <w:rPr>
          <w:rFonts w:ascii="Arial" w:hAnsi="Arial" w:cs="Arial"/>
          <w:sz w:val="24"/>
          <w:szCs w:val="24"/>
        </w:rPr>
        <w:t>]</w:t>
      </w:r>
    </w:p>
    <w:p w14:paraId="21C05768" w14:textId="6DB10C86"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8278D0">
        <w:rPr>
          <w:rFonts w:ascii="Arial" w:hAnsi="Arial" w:cs="Arial"/>
          <w:sz w:val="24"/>
          <w:szCs w:val="24"/>
        </w:rPr>
        <w:t>Ground Water]</w:t>
      </w:r>
    </w:p>
    <w:p w14:paraId="6AE5ED8C" w14:textId="54D57C4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278D0">
        <w:rPr>
          <w:rFonts w:ascii="Arial" w:hAnsi="Arial" w:cs="Arial"/>
          <w:sz w:val="24"/>
          <w:szCs w:val="24"/>
        </w:rPr>
        <w:t>Well located at back of school, 33220 Sunrise Rd. Lucerne Valley, Ca 92356</w:t>
      </w:r>
      <w:r w:rsidRPr="005F082E">
        <w:rPr>
          <w:rFonts w:ascii="Arial" w:hAnsi="Arial" w:cs="Arial"/>
          <w:sz w:val="24"/>
          <w:szCs w:val="24"/>
        </w:rPr>
        <w:t>]</w:t>
      </w:r>
    </w:p>
    <w:p w14:paraId="11D6F99D" w14:textId="612B2A4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8278D0">
        <w:rPr>
          <w:rFonts w:ascii="Arial" w:hAnsi="Arial" w:cs="Arial"/>
          <w:sz w:val="24"/>
          <w:szCs w:val="24"/>
        </w:rPr>
        <w:t>Low potential risk from septic system</w:t>
      </w:r>
      <w:r w:rsidR="005538F9">
        <w:rPr>
          <w:rFonts w:ascii="Arial" w:hAnsi="Arial" w:cs="Arial"/>
          <w:sz w:val="24"/>
          <w:szCs w:val="24"/>
        </w:rPr>
        <w:t>]</w:t>
      </w:r>
    </w:p>
    <w:p w14:paraId="55CC3D7E" w14:textId="5B05EEFD"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5538F9">
        <w:rPr>
          <w:rFonts w:ascii="Arial" w:hAnsi="Arial" w:cs="Arial"/>
          <w:sz w:val="24"/>
          <w:szCs w:val="24"/>
        </w:rPr>
        <w:t xml:space="preserve">Go to </w:t>
      </w:r>
      <w:hyperlink r:id="rId8" w:history="1">
        <w:r w:rsidR="005538F9" w:rsidRPr="006B056A">
          <w:rPr>
            <w:rStyle w:val="Hyperlink"/>
            <w:rFonts w:ascii="Arial" w:hAnsi="Arial" w:cs="Arial"/>
            <w:sz w:val="24"/>
            <w:szCs w:val="24"/>
          </w:rPr>
          <w:t>https://lucernevalleyusd.orgfor</w:t>
        </w:r>
      </w:hyperlink>
      <w:r w:rsidR="005538F9">
        <w:rPr>
          <w:rFonts w:ascii="Arial" w:hAnsi="Arial" w:cs="Arial"/>
          <w:sz w:val="24"/>
          <w:szCs w:val="24"/>
        </w:rPr>
        <w:t xml:space="preserve"> meeting schedule; usually held on the second Wednesday of each month, rotating district sites]</w:t>
      </w:r>
    </w:p>
    <w:p w14:paraId="175FE9EF" w14:textId="1563354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538F9">
        <w:rPr>
          <w:rFonts w:ascii="Arial" w:hAnsi="Arial" w:cs="Arial"/>
          <w:sz w:val="24"/>
          <w:szCs w:val="24"/>
        </w:rPr>
        <w:t>District office 760-248-6108</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BB0DB2">
        <w:fldChar w:fldCharType="begin"/>
      </w:r>
      <w:r w:rsidR="00BB0DB2">
        <w:instrText xml:space="preserve"> SEQ Table \* ARABIC </w:instrText>
      </w:r>
      <w:r w:rsidR="00BB0DB2">
        <w:fldChar w:fldCharType="separate"/>
      </w:r>
      <w:r w:rsidR="001D70E6" w:rsidRPr="005F082E">
        <w:rPr>
          <w:noProof/>
        </w:rPr>
        <w:t>1</w:t>
      </w:r>
      <w:r w:rsidR="00BB0DB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3C6E60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w:t>
            </w:r>
            <w:r w:rsidR="005538F9">
              <w:rPr>
                <w:rFonts w:ascii="Arial" w:hAnsi="Arial" w:cs="Arial"/>
                <w:color w:val="000000" w:themeColor="text1"/>
                <w:sz w:val="24"/>
                <w:szCs w:val="24"/>
              </w:rPr>
              <w:t>0]</w:t>
            </w:r>
          </w:p>
        </w:tc>
        <w:tc>
          <w:tcPr>
            <w:tcW w:w="1443" w:type="dxa"/>
            <w:shd w:val="clear" w:color="auto" w:fill="auto"/>
          </w:tcPr>
          <w:p w14:paraId="7D6226CF" w14:textId="50AAEC3F"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2EDDD89"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p>
        </w:tc>
        <w:tc>
          <w:tcPr>
            <w:tcW w:w="1443" w:type="dxa"/>
          </w:tcPr>
          <w:p w14:paraId="2E633587" w14:textId="63B61573"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004FD98" w:rsidR="008572DA" w:rsidRPr="005F082E" w:rsidRDefault="005538F9" w:rsidP="008572DA">
            <w:pPr>
              <w:spacing w:before="40" w:after="40"/>
              <w:jc w:val="center"/>
              <w:rPr>
                <w:rFonts w:ascii="Arial" w:hAnsi="Arial" w:cs="Arial"/>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1443" w:type="dxa"/>
          </w:tcPr>
          <w:p w14:paraId="38C21B9B" w14:textId="2A2F63E4"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BB0DB2">
        <w:fldChar w:fldCharType="begin"/>
      </w:r>
      <w:r w:rsidR="00BB0DB2">
        <w:instrText xml:space="preserve"> SEQ Table \* ARABIC </w:instrText>
      </w:r>
      <w:r w:rsidR="00BB0DB2">
        <w:fldChar w:fldCharType="separate"/>
      </w:r>
      <w:r w:rsidR="001D70E6" w:rsidRPr="005F082E">
        <w:rPr>
          <w:noProof/>
        </w:rPr>
        <w:t>2</w:t>
      </w:r>
      <w:r w:rsidR="00BB0DB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DFA23A"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07/20/20</w:t>
            </w:r>
            <w:r w:rsidRPr="005F082E">
              <w:rPr>
                <w:rFonts w:ascii="Arial" w:hAnsi="Arial" w:cs="Arial"/>
                <w:color w:val="000000" w:themeColor="text1"/>
                <w:sz w:val="24"/>
                <w:szCs w:val="24"/>
              </w:rPr>
              <w:t>]</w:t>
            </w:r>
          </w:p>
        </w:tc>
        <w:tc>
          <w:tcPr>
            <w:tcW w:w="900" w:type="dxa"/>
            <w:tcMar>
              <w:left w:w="86" w:type="dxa"/>
              <w:right w:w="86" w:type="dxa"/>
            </w:tcMar>
          </w:tcPr>
          <w:p w14:paraId="102D5A02" w14:textId="5E1F3D92"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36E2A949" w14:textId="427F613E"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p>
        </w:tc>
        <w:tc>
          <w:tcPr>
            <w:tcW w:w="900" w:type="dxa"/>
            <w:tcMar>
              <w:left w:w="86" w:type="dxa"/>
              <w:right w:w="86" w:type="dxa"/>
            </w:tcMar>
          </w:tcPr>
          <w:p w14:paraId="308535F4" w14:textId="3C67446E"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D0B533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5538F9">
              <w:rPr>
                <w:rFonts w:ascii="Arial" w:hAnsi="Arial" w:cs="Arial"/>
                <w:color w:val="000000" w:themeColor="text1"/>
                <w:sz w:val="24"/>
                <w:szCs w:val="24"/>
              </w:rPr>
              <w:t>07/20/20</w:t>
            </w:r>
            <w:r w:rsidRPr="005F082E">
              <w:rPr>
                <w:rFonts w:ascii="Arial" w:hAnsi="Arial" w:cs="Arial"/>
                <w:color w:val="000000" w:themeColor="text1"/>
                <w:sz w:val="24"/>
                <w:szCs w:val="24"/>
              </w:rPr>
              <w:t>]</w:t>
            </w:r>
          </w:p>
        </w:tc>
        <w:tc>
          <w:tcPr>
            <w:tcW w:w="900" w:type="dxa"/>
            <w:tcMar>
              <w:left w:w="86" w:type="dxa"/>
              <w:right w:w="86" w:type="dxa"/>
            </w:tcMar>
          </w:tcPr>
          <w:p w14:paraId="42CEE2F3" w14:textId="2B4306BD" w:rsidR="00FC33C4" w:rsidRPr="005F082E" w:rsidRDefault="005538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BF78FBD"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w:t>
            </w:r>
          </w:p>
        </w:tc>
        <w:tc>
          <w:tcPr>
            <w:tcW w:w="900" w:type="dxa"/>
            <w:tcMar>
              <w:left w:w="86" w:type="dxa"/>
              <w:right w:w="86" w:type="dxa"/>
            </w:tcMar>
          </w:tcPr>
          <w:p w14:paraId="1AE57BBF" w14:textId="12AB1DF2"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.205</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BB0DB2">
        <w:fldChar w:fldCharType="begin"/>
      </w:r>
      <w:r w:rsidR="00BB0DB2">
        <w:instrText xml:space="preserve"> SEQ Table \* ARABIC </w:instrText>
      </w:r>
      <w:r w:rsidR="00BB0DB2">
        <w:fldChar w:fldCharType="separate"/>
      </w:r>
      <w:r w:rsidR="001D70E6" w:rsidRPr="005F082E">
        <w:rPr>
          <w:noProof/>
        </w:rPr>
        <w:t>3</w:t>
      </w:r>
      <w:r w:rsidR="00BB0DB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D8FDFF"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08/1986</w:t>
            </w:r>
            <w:r w:rsidRPr="005F082E">
              <w:rPr>
                <w:rFonts w:ascii="Arial" w:hAnsi="Arial" w:cs="Arial"/>
                <w:color w:val="000000" w:themeColor="text1"/>
                <w:sz w:val="24"/>
                <w:szCs w:val="24"/>
              </w:rPr>
              <w:t>]</w:t>
            </w:r>
          </w:p>
        </w:tc>
        <w:tc>
          <w:tcPr>
            <w:tcW w:w="1260" w:type="dxa"/>
            <w:tcMar>
              <w:left w:w="58" w:type="dxa"/>
              <w:right w:w="58" w:type="dxa"/>
            </w:tcMar>
          </w:tcPr>
          <w:p w14:paraId="690B0D1C" w14:textId="2D617D1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33</w:t>
            </w:r>
            <w:r w:rsidRPr="005F082E">
              <w:rPr>
                <w:rFonts w:ascii="Arial" w:hAnsi="Arial" w:cs="Arial"/>
                <w:color w:val="000000" w:themeColor="text1"/>
                <w:sz w:val="24"/>
                <w:szCs w:val="24"/>
              </w:rPr>
              <w:t>]</w:t>
            </w:r>
          </w:p>
        </w:tc>
        <w:tc>
          <w:tcPr>
            <w:tcW w:w="1530" w:type="dxa"/>
            <w:tcMar>
              <w:left w:w="58" w:type="dxa"/>
              <w:right w:w="58" w:type="dxa"/>
            </w:tcMar>
          </w:tcPr>
          <w:p w14:paraId="6802CC34" w14:textId="2A0074BE"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6EF3E6"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08/1986</w:t>
            </w:r>
            <w:r w:rsidRPr="005F082E">
              <w:rPr>
                <w:rFonts w:ascii="Arial" w:hAnsi="Arial" w:cs="Arial"/>
                <w:color w:val="000000" w:themeColor="text1"/>
                <w:sz w:val="24"/>
                <w:szCs w:val="24"/>
              </w:rPr>
              <w:t>]</w:t>
            </w:r>
          </w:p>
        </w:tc>
        <w:tc>
          <w:tcPr>
            <w:tcW w:w="1260" w:type="dxa"/>
            <w:tcMar>
              <w:left w:w="58" w:type="dxa"/>
              <w:right w:w="58" w:type="dxa"/>
            </w:tcMar>
          </w:tcPr>
          <w:p w14:paraId="5F571C45" w14:textId="3A635E00"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160</w:t>
            </w:r>
            <w:r w:rsidRPr="005F082E">
              <w:rPr>
                <w:rFonts w:ascii="Arial" w:hAnsi="Arial" w:cs="Arial"/>
                <w:color w:val="000000" w:themeColor="text1"/>
                <w:sz w:val="24"/>
                <w:szCs w:val="24"/>
              </w:rPr>
              <w:t>]</w:t>
            </w:r>
          </w:p>
        </w:tc>
        <w:tc>
          <w:tcPr>
            <w:tcW w:w="1530" w:type="dxa"/>
            <w:tcMar>
              <w:left w:w="58" w:type="dxa"/>
              <w:right w:w="58" w:type="dxa"/>
            </w:tcMar>
          </w:tcPr>
          <w:p w14:paraId="2BE476FB" w14:textId="1AB9B94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BB0DB2">
        <w:fldChar w:fldCharType="begin"/>
      </w:r>
      <w:r w:rsidR="00BB0DB2">
        <w:instrText xml:space="preserve"> SEQ Table \* ARABIC </w:instrText>
      </w:r>
      <w:r w:rsidR="00BB0DB2">
        <w:fldChar w:fldCharType="separate"/>
      </w:r>
      <w:r w:rsidR="001D70E6" w:rsidRPr="005F082E">
        <w:rPr>
          <w:noProof/>
        </w:rPr>
        <w:t>4</w:t>
      </w:r>
      <w:r w:rsidR="00BB0DB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985D77D" w:rsidR="00512D8C" w:rsidRPr="005F082E" w:rsidRDefault="00376E7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(N03-N)</w:t>
            </w:r>
            <w:r w:rsidR="00512D8C" w:rsidRPr="005F082E">
              <w:rPr>
                <w:rFonts w:ascii="Arial" w:hAnsi="Arial" w:cs="Arial"/>
                <w:color w:val="000000" w:themeColor="text1"/>
                <w:sz w:val="24"/>
                <w:szCs w:val="24"/>
              </w:rPr>
              <w:t>]</w:t>
            </w:r>
          </w:p>
        </w:tc>
        <w:tc>
          <w:tcPr>
            <w:tcW w:w="1440" w:type="dxa"/>
          </w:tcPr>
          <w:p w14:paraId="21F7006B" w14:textId="3633908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3/23/20]</w:t>
            </w:r>
          </w:p>
        </w:tc>
        <w:tc>
          <w:tcPr>
            <w:tcW w:w="1260" w:type="dxa"/>
          </w:tcPr>
          <w:p w14:paraId="1BD7CABC" w14:textId="18429B36"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0.55]</w:t>
            </w:r>
          </w:p>
        </w:tc>
        <w:tc>
          <w:tcPr>
            <w:tcW w:w="1530" w:type="dxa"/>
          </w:tcPr>
          <w:p w14:paraId="40895B2C" w14:textId="02A6395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0.40</w:t>
            </w:r>
            <w:r w:rsidRPr="005F082E">
              <w:rPr>
                <w:rFonts w:ascii="Arial" w:hAnsi="Arial" w:cs="Arial"/>
                <w:color w:val="000000" w:themeColor="text1"/>
                <w:sz w:val="24"/>
                <w:szCs w:val="24"/>
              </w:rPr>
              <w:t>]</w:t>
            </w:r>
          </w:p>
        </w:tc>
        <w:tc>
          <w:tcPr>
            <w:tcW w:w="1170" w:type="dxa"/>
          </w:tcPr>
          <w:p w14:paraId="707B8EC2" w14:textId="52E8899E"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260" w:type="dxa"/>
          </w:tcPr>
          <w:p w14:paraId="4F209845" w14:textId="6A5C8E23"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10]</w:t>
            </w:r>
          </w:p>
        </w:tc>
        <w:tc>
          <w:tcPr>
            <w:tcW w:w="1931" w:type="dxa"/>
          </w:tcPr>
          <w:p w14:paraId="307E6935" w14:textId="4CD696CE"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Runoff and leaching from fertilizer use; leaching from septic tanks and sewage; erosion of natural deposits.</w:t>
            </w:r>
            <w:r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13BB9A2D"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Fluoride-ppm</w:t>
            </w:r>
            <w:r w:rsidRPr="005F082E">
              <w:rPr>
                <w:rFonts w:ascii="Arial" w:hAnsi="Arial" w:cs="Arial"/>
                <w:color w:val="000000" w:themeColor="text1"/>
                <w:sz w:val="24"/>
                <w:szCs w:val="24"/>
              </w:rPr>
              <w:t>]</w:t>
            </w:r>
          </w:p>
        </w:tc>
        <w:tc>
          <w:tcPr>
            <w:tcW w:w="1440" w:type="dxa"/>
          </w:tcPr>
          <w:p w14:paraId="25EFD446" w14:textId="5A46EE12"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6/17/19</w:t>
            </w:r>
            <w:r w:rsidRPr="005F082E">
              <w:rPr>
                <w:rFonts w:ascii="Arial" w:hAnsi="Arial" w:cs="Arial"/>
                <w:color w:val="000000" w:themeColor="text1"/>
                <w:sz w:val="24"/>
                <w:szCs w:val="24"/>
              </w:rPr>
              <w:t>]</w:t>
            </w:r>
          </w:p>
        </w:tc>
        <w:tc>
          <w:tcPr>
            <w:tcW w:w="1260" w:type="dxa"/>
          </w:tcPr>
          <w:p w14:paraId="7CAF39D9" w14:textId="17393E23"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0.73</w:t>
            </w:r>
            <w:r w:rsidRPr="005F082E">
              <w:rPr>
                <w:rFonts w:ascii="Arial" w:hAnsi="Arial" w:cs="Arial"/>
                <w:color w:val="000000" w:themeColor="text1"/>
                <w:sz w:val="24"/>
                <w:szCs w:val="24"/>
              </w:rPr>
              <w:t>]</w:t>
            </w:r>
          </w:p>
        </w:tc>
        <w:tc>
          <w:tcPr>
            <w:tcW w:w="1530" w:type="dxa"/>
          </w:tcPr>
          <w:p w14:paraId="694B316A" w14:textId="5B901DB9"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1170" w:type="dxa"/>
          </w:tcPr>
          <w:p w14:paraId="04B3ABD1" w14:textId="63D29FE7"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1260" w:type="dxa"/>
          </w:tcPr>
          <w:p w14:paraId="7BD33183" w14:textId="6A72F26F"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2</w:t>
            </w:r>
            <w:r w:rsidRPr="005F082E">
              <w:rPr>
                <w:rFonts w:ascii="Arial" w:hAnsi="Arial" w:cs="Arial"/>
                <w:color w:val="000000" w:themeColor="text1"/>
                <w:sz w:val="24"/>
                <w:szCs w:val="24"/>
              </w:rPr>
              <w:t>]</w:t>
            </w:r>
          </w:p>
        </w:tc>
        <w:tc>
          <w:tcPr>
            <w:tcW w:w="1931" w:type="dxa"/>
          </w:tcPr>
          <w:p w14:paraId="701F5E75" w14:textId="4F9EDBC9"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Erosion of natural deposits; water additive which promotes strong teeth; discharge from fertilizer and aluminum factories</w:t>
            </w:r>
            <w:r w:rsidRPr="005F082E">
              <w:rPr>
                <w:rFonts w:ascii="Arial" w:hAnsi="Arial" w:cs="Arial"/>
                <w:color w:val="000000" w:themeColor="text1"/>
                <w:sz w:val="24"/>
                <w:szCs w:val="24"/>
              </w:rPr>
              <w:t>]</w:t>
            </w:r>
          </w:p>
        </w:tc>
      </w:tr>
      <w:tr w:rsidR="001F7181" w:rsidRPr="005F082E" w14:paraId="5A2E4EDA" w14:textId="77777777" w:rsidTr="00512D8C">
        <w:trPr>
          <w:trHeight w:val="432"/>
        </w:trPr>
        <w:tc>
          <w:tcPr>
            <w:tcW w:w="2245" w:type="dxa"/>
            <w:tcMar>
              <w:left w:w="58" w:type="dxa"/>
              <w:right w:w="58" w:type="dxa"/>
            </w:tcMar>
          </w:tcPr>
          <w:p w14:paraId="490802B3" w14:textId="64A687A7"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376E75">
              <w:rPr>
                <w:rFonts w:ascii="Arial" w:hAnsi="Arial" w:cs="Arial"/>
                <w:color w:val="000000" w:themeColor="text1"/>
                <w:sz w:val="24"/>
                <w:szCs w:val="24"/>
              </w:rPr>
              <w:t>Arsenic-</w:t>
            </w:r>
            <w:r w:rsidR="0063677E">
              <w:rPr>
                <w:rFonts w:ascii="Arial" w:hAnsi="Arial" w:cs="Arial"/>
                <w:color w:val="000000" w:themeColor="text1"/>
                <w:sz w:val="24"/>
                <w:szCs w:val="24"/>
              </w:rPr>
              <w:t>ppb</w:t>
            </w:r>
            <w:r w:rsidRPr="005F082E">
              <w:rPr>
                <w:rFonts w:ascii="Arial" w:hAnsi="Arial" w:cs="Arial"/>
                <w:color w:val="000000" w:themeColor="text1"/>
                <w:sz w:val="24"/>
                <w:szCs w:val="24"/>
              </w:rPr>
              <w:t>]</w:t>
            </w:r>
          </w:p>
        </w:tc>
        <w:tc>
          <w:tcPr>
            <w:tcW w:w="1440" w:type="dxa"/>
          </w:tcPr>
          <w:p w14:paraId="535C6478" w14:textId="72D07141"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6/27/19</w:t>
            </w:r>
          </w:p>
        </w:tc>
        <w:tc>
          <w:tcPr>
            <w:tcW w:w="1260" w:type="dxa"/>
          </w:tcPr>
          <w:p w14:paraId="1A872876" w14:textId="4A05428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3.5]</w:t>
            </w:r>
          </w:p>
        </w:tc>
        <w:tc>
          <w:tcPr>
            <w:tcW w:w="1530" w:type="dxa"/>
          </w:tcPr>
          <w:p w14:paraId="4E27FAAD" w14:textId="404D6F6F"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w:t>
            </w:r>
            <w:r w:rsidRPr="005F082E">
              <w:rPr>
                <w:rFonts w:ascii="Arial" w:hAnsi="Arial" w:cs="Arial"/>
                <w:color w:val="000000" w:themeColor="text1"/>
                <w:sz w:val="24"/>
                <w:szCs w:val="24"/>
              </w:rPr>
              <w:t>]</w:t>
            </w:r>
          </w:p>
        </w:tc>
        <w:tc>
          <w:tcPr>
            <w:tcW w:w="1170" w:type="dxa"/>
          </w:tcPr>
          <w:p w14:paraId="6EC8A772" w14:textId="6C66B4B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10</w:t>
            </w:r>
            <w:r w:rsidRPr="005F082E">
              <w:rPr>
                <w:rFonts w:ascii="Arial" w:hAnsi="Arial" w:cs="Arial"/>
                <w:color w:val="000000" w:themeColor="text1"/>
                <w:sz w:val="24"/>
                <w:szCs w:val="24"/>
              </w:rPr>
              <w:t>]</w:t>
            </w:r>
          </w:p>
        </w:tc>
        <w:tc>
          <w:tcPr>
            <w:tcW w:w="1260" w:type="dxa"/>
          </w:tcPr>
          <w:p w14:paraId="22CCB022" w14:textId="2419E07C"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2]</w:t>
            </w:r>
          </w:p>
        </w:tc>
        <w:tc>
          <w:tcPr>
            <w:tcW w:w="1931" w:type="dxa"/>
          </w:tcPr>
          <w:p w14:paraId="218DDB99" w14:textId="6E4816D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 xml:space="preserve">Erosion of natural deposits; runoff from orchards; glass and electronics </w:t>
            </w:r>
            <w:r w:rsidR="0063677E">
              <w:rPr>
                <w:rFonts w:ascii="Arial" w:hAnsi="Arial" w:cs="Arial"/>
                <w:color w:val="000000" w:themeColor="text1"/>
                <w:sz w:val="24"/>
                <w:szCs w:val="24"/>
              </w:rPr>
              <w:lastRenderedPageBreak/>
              <w:t>production waste</w:t>
            </w:r>
            <w:r w:rsidRPr="005F082E">
              <w:rPr>
                <w:rFonts w:ascii="Arial" w:hAnsi="Arial" w:cs="Arial"/>
                <w:color w:val="000000" w:themeColor="text1"/>
                <w:sz w:val="24"/>
                <w:szCs w:val="24"/>
              </w:rPr>
              <w:t>]</w:t>
            </w:r>
          </w:p>
        </w:tc>
      </w:tr>
      <w:tr w:rsidR="0063677E" w:rsidRPr="005F082E" w14:paraId="4253C042" w14:textId="77777777" w:rsidTr="00512D8C">
        <w:trPr>
          <w:trHeight w:val="432"/>
        </w:trPr>
        <w:tc>
          <w:tcPr>
            <w:tcW w:w="2245" w:type="dxa"/>
            <w:tcMar>
              <w:left w:w="58" w:type="dxa"/>
              <w:right w:w="58" w:type="dxa"/>
            </w:tcMar>
          </w:tcPr>
          <w:p w14:paraId="76C7AAEF" w14:textId="1DD8EECB" w:rsidR="0063677E" w:rsidRPr="005F082E" w:rsidRDefault="0063677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Chromium-6ppb</w:t>
            </w:r>
          </w:p>
        </w:tc>
        <w:tc>
          <w:tcPr>
            <w:tcW w:w="1440" w:type="dxa"/>
          </w:tcPr>
          <w:p w14:paraId="64F586A9" w14:textId="221CAD3B"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6/17/19</w:t>
            </w:r>
          </w:p>
        </w:tc>
        <w:tc>
          <w:tcPr>
            <w:tcW w:w="1260" w:type="dxa"/>
          </w:tcPr>
          <w:p w14:paraId="3A3BFAB4" w14:textId="32FE7DEF"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2A0DA827" w14:textId="68321ADB"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8F8B50F" w14:textId="75E834DA"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846F8F0" w14:textId="0DB085EA"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45C8C5A9" w14:textId="1C260395" w:rsidR="0063677E" w:rsidRPr="005F082E" w:rsidRDefault="0063677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electroplating factories; leather tanneries, wood preservation, chemical synthesis, refractory production, textile manufacturing facilities; erosion of natural deposits</w:t>
            </w:r>
          </w:p>
        </w:tc>
      </w:tr>
    </w:tbl>
    <w:p w14:paraId="7CEB1FE7" w14:textId="641B9266" w:rsidR="005D3708" w:rsidRPr="005F082E" w:rsidRDefault="005D3708" w:rsidP="00070C22">
      <w:pPr>
        <w:pStyle w:val="Caption"/>
      </w:pPr>
      <w:r w:rsidRPr="005F082E">
        <w:t xml:space="preserve">Table </w:t>
      </w:r>
      <w:r w:rsidR="00BB0DB2">
        <w:fldChar w:fldCharType="begin"/>
      </w:r>
      <w:r w:rsidR="00BB0DB2">
        <w:instrText xml:space="preserve"> SEQ Table \* ARABIC </w:instrText>
      </w:r>
      <w:r w:rsidR="00BB0DB2">
        <w:fldChar w:fldCharType="separate"/>
      </w:r>
      <w:r w:rsidR="001D70E6" w:rsidRPr="005F082E">
        <w:rPr>
          <w:noProof/>
        </w:rPr>
        <w:t>5</w:t>
      </w:r>
      <w:r w:rsidR="00BB0DB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C9F89CA"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63677E">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564AA6F7"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70D287B3"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8B24E4C" w:rsidR="005D3708" w:rsidRPr="005F082E" w:rsidRDefault="005D3708" w:rsidP="00875407">
      <w:pPr>
        <w:pStyle w:val="Caption"/>
        <w:widowControl w:val="0"/>
      </w:pPr>
      <w:r w:rsidRPr="005F082E">
        <w:t xml:space="preserve">Table </w:t>
      </w:r>
      <w:r w:rsidR="00BB0DB2">
        <w:fldChar w:fldCharType="begin"/>
      </w:r>
      <w:r w:rsidR="00BB0DB2">
        <w:instrText xml:space="preserve"> SEQ Table \* ARABIC </w:instrText>
      </w:r>
      <w:r w:rsidR="00BB0DB2">
        <w:fldChar w:fldCharType="separate"/>
      </w:r>
      <w:r w:rsidR="001D70E6" w:rsidRPr="005F082E">
        <w:rPr>
          <w:noProof/>
        </w:rPr>
        <w:t>6</w:t>
      </w:r>
      <w:r w:rsidR="00BB0DB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42A4055" w:rsidR="00DA4F32" w:rsidRPr="005F082E" w:rsidRDefault="00BB4F8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r w:rsidR="00DA4F32" w:rsidRPr="005F082E">
              <w:rPr>
                <w:rFonts w:ascii="Arial" w:hAnsi="Arial" w:cs="Arial"/>
                <w:color w:val="000000" w:themeColor="text1"/>
                <w:sz w:val="24"/>
                <w:szCs w:val="24"/>
              </w:rPr>
              <w: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497B173D"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Pr="005F082E">
              <w:rPr>
                <w:rFonts w:ascii="Arial" w:hAnsi="Arial" w:cs="Arial"/>
                <w:color w:val="000000" w:themeColor="text1"/>
                <w:sz w:val="24"/>
                <w:szCs w:val="24"/>
              </w:rPr>
              <w: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48FE8807" w:rsidR="00DA4F32" w:rsidRPr="005F082E" w:rsidRDefault="00BB4F8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r w:rsidR="00DA4F32" w:rsidRPr="005F082E">
              <w:rPr>
                <w:rFonts w:ascii="Arial" w:hAnsi="Arial" w:cs="Arial"/>
                <w:color w:val="000000" w:themeColor="text1"/>
                <w:sz w:val="24"/>
                <w:szCs w:val="24"/>
              </w:rPr>
              <w: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730E016"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70A300C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338DE35"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0</w:t>
            </w:r>
            <w:r w:rsidRPr="005F082E">
              <w:rPr>
                <w:rFonts w:ascii="Arial" w:hAnsi="Arial" w:cs="Arial"/>
                <w:sz w:val="24"/>
                <w:szCs w:val="24"/>
              </w:rPr>
              <w:t>.]</w:t>
            </w:r>
          </w:p>
        </w:tc>
        <w:tc>
          <w:tcPr>
            <w:tcW w:w="1440" w:type="dxa"/>
            <w:tcMar>
              <w:left w:w="58" w:type="dxa"/>
              <w:right w:w="58" w:type="dxa"/>
            </w:tcMar>
          </w:tcPr>
          <w:p w14:paraId="63C1391F" w14:textId="3AE6CFC5"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295CC1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0]</w:t>
            </w:r>
          </w:p>
        </w:tc>
        <w:tc>
          <w:tcPr>
            <w:tcW w:w="1440" w:type="dxa"/>
            <w:tcMar>
              <w:left w:w="58" w:type="dxa"/>
              <w:right w:w="58" w:type="dxa"/>
            </w:tcMar>
          </w:tcPr>
          <w:p w14:paraId="184CB2D0" w14:textId="08A28C39"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FE0B352"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0]</w:t>
            </w:r>
          </w:p>
        </w:tc>
        <w:tc>
          <w:tcPr>
            <w:tcW w:w="1440" w:type="dxa"/>
            <w:tcMar>
              <w:left w:w="58" w:type="dxa"/>
              <w:right w:w="58" w:type="dxa"/>
            </w:tcMar>
          </w:tcPr>
          <w:p w14:paraId="0CA8CA65" w14:textId="5BBA5D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BB4F86">
              <w:rPr>
                <w:rFonts w:ascii="Arial" w:hAnsi="Arial" w:cs="Arial"/>
                <w:sz w:val="24"/>
                <w:szCs w:val="24"/>
              </w:rPr>
              <w:t>N/A</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550E26B"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246CB838"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1CB25EB0"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EC79AC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66CE827"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1282538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r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13F24CF1"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BB4F86">
              <w:rPr>
                <w:rFonts w:ascii="Arial" w:hAnsi="Arial" w:cs="Arial"/>
                <w:color w:val="000000" w:themeColor="text1"/>
                <w:sz w:val="24"/>
                <w:szCs w:val="24"/>
              </w:rPr>
              <w:t>N/A</w:t>
            </w:r>
            <w:bookmarkStart w:id="16" w:name="_GoBack"/>
            <w:bookmarkEnd w:id="16"/>
            <w:r w:rsidRPr="005F082E">
              <w:rPr>
                <w:rFonts w:ascii="Arial" w:hAnsi="Arial" w:cs="Arial"/>
                <w:sz w:val="24"/>
                <w:szCs w:val="24"/>
              </w:rPr>
              <w:t>]</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D7CE" w14:textId="77777777" w:rsidR="00BB0DB2" w:rsidRDefault="00BB0DB2">
      <w:r>
        <w:separator/>
      </w:r>
    </w:p>
    <w:p w14:paraId="6EC3BBB2" w14:textId="77777777" w:rsidR="00BB0DB2" w:rsidRDefault="00BB0DB2"/>
  </w:endnote>
  <w:endnote w:type="continuationSeparator" w:id="0">
    <w:p w14:paraId="57EB1BD8" w14:textId="77777777" w:rsidR="00BB0DB2" w:rsidRDefault="00BB0DB2">
      <w:r>
        <w:continuationSeparator/>
      </w:r>
    </w:p>
    <w:p w14:paraId="719804D5" w14:textId="77777777" w:rsidR="00BB0DB2" w:rsidRDefault="00BB0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8A15" w14:textId="77777777" w:rsidR="00BB0DB2" w:rsidRDefault="00BB0DB2">
      <w:r>
        <w:separator/>
      </w:r>
    </w:p>
    <w:p w14:paraId="5C9104C5" w14:textId="77777777" w:rsidR="00BB0DB2" w:rsidRDefault="00BB0DB2"/>
  </w:footnote>
  <w:footnote w:type="continuationSeparator" w:id="0">
    <w:p w14:paraId="7EACFFF7" w14:textId="77777777" w:rsidR="00BB0DB2" w:rsidRDefault="00BB0DB2">
      <w:r>
        <w:continuationSeparator/>
      </w:r>
    </w:p>
    <w:p w14:paraId="4DE4A549" w14:textId="77777777" w:rsidR="00BB0DB2" w:rsidRDefault="00BB0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6E75"/>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8F9"/>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77E"/>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278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0DB2"/>
    <w:rsid w:val="00BB3E43"/>
    <w:rsid w:val="00BB412C"/>
    <w:rsid w:val="00BB4F86"/>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cernevalleyusd.orgf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AE27-1819-4858-88A2-80564565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Lillian Thomason</cp:lastModifiedBy>
  <cp:revision>2</cp:revision>
  <cp:lastPrinted>2021-02-24T23:35:00Z</cp:lastPrinted>
  <dcterms:created xsi:type="dcterms:W3CDTF">2021-06-01T19:52:00Z</dcterms:created>
  <dcterms:modified xsi:type="dcterms:W3CDTF">2021-06-01T19:52:00Z</dcterms:modified>
</cp:coreProperties>
</file>