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D096A" w:rsidRPr="00412B2F" w14:paraId="7CE913D2" w14:textId="77777777" w:rsidTr="0014730B">
        <w:trPr>
          <w:cantSplit/>
        </w:trPr>
        <w:tc>
          <w:tcPr>
            <w:tcW w:w="2047" w:type="dxa"/>
            <w:tcBorders>
              <w:top w:val="nil"/>
              <w:left w:val="nil"/>
              <w:bottom w:val="nil"/>
              <w:right w:val="nil"/>
            </w:tcBorders>
          </w:tcPr>
          <w:p w14:paraId="012BEE57" w14:textId="77777777" w:rsidR="002D096A" w:rsidRPr="00412B2F" w:rsidRDefault="002D096A" w:rsidP="002D096A">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bottom w:val="single" w:sz="4" w:space="0" w:color="auto"/>
              <w:right w:val="nil"/>
            </w:tcBorders>
          </w:tcPr>
          <w:p w14:paraId="0D6334CF" w14:textId="366A6DAA" w:rsidR="002D096A" w:rsidRPr="00412B2F" w:rsidRDefault="002D096A" w:rsidP="002D096A">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Vineyard Estates MWC</w:t>
            </w:r>
          </w:p>
        </w:tc>
        <w:tc>
          <w:tcPr>
            <w:tcW w:w="1314" w:type="dxa"/>
            <w:tcBorders>
              <w:top w:val="nil"/>
              <w:left w:val="nil"/>
              <w:bottom w:val="nil"/>
              <w:right w:val="nil"/>
            </w:tcBorders>
          </w:tcPr>
          <w:p w14:paraId="31ED9B54" w14:textId="77777777" w:rsidR="002D096A" w:rsidRPr="00412B2F" w:rsidRDefault="002D096A" w:rsidP="002D096A">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67F6DB" w:rsidR="002D096A" w:rsidRPr="0033580D" w:rsidRDefault="0033580D" w:rsidP="002D096A">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3580D">
              <w:rPr>
                <w:b/>
                <w:sz w:val="21"/>
                <w:szCs w:val="21"/>
              </w:rPr>
              <w:t>06/24/2020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4A0" w:firstRow="1" w:lastRow="0" w:firstColumn="1" w:lastColumn="0" w:noHBand="0" w:noVBand="1"/>
      </w:tblPr>
      <w:tblGrid>
        <w:gridCol w:w="2880"/>
        <w:gridCol w:w="90"/>
        <w:gridCol w:w="630"/>
        <w:gridCol w:w="900"/>
        <w:gridCol w:w="2610"/>
        <w:gridCol w:w="90"/>
        <w:gridCol w:w="810"/>
        <w:gridCol w:w="2790"/>
      </w:tblGrid>
      <w:tr w:rsidR="002D096A" w14:paraId="5C2383F5" w14:textId="77777777" w:rsidTr="002D096A">
        <w:trPr>
          <w:cantSplit/>
        </w:trPr>
        <w:tc>
          <w:tcPr>
            <w:tcW w:w="2970" w:type="dxa"/>
            <w:gridSpan w:val="2"/>
            <w:hideMark/>
          </w:tcPr>
          <w:p w14:paraId="73CB2570" w14:textId="77777777" w:rsidR="002D096A" w:rsidRDefault="002D096A">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top w:val="nil"/>
              <w:left w:val="nil"/>
              <w:bottom w:val="single" w:sz="4" w:space="0" w:color="auto"/>
              <w:right w:val="nil"/>
            </w:tcBorders>
            <w:hideMark/>
          </w:tcPr>
          <w:p w14:paraId="53681CBE" w14:textId="77777777" w:rsidR="002D096A" w:rsidRDefault="002D096A">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Well 3500552</w:t>
            </w:r>
          </w:p>
        </w:tc>
      </w:tr>
      <w:tr w:rsidR="002D096A" w14:paraId="2A67ABB5" w14:textId="77777777" w:rsidTr="002D096A">
        <w:trPr>
          <w:cantSplit/>
        </w:trPr>
        <w:tc>
          <w:tcPr>
            <w:tcW w:w="3600" w:type="dxa"/>
            <w:gridSpan w:val="3"/>
            <w:hideMark/>
          </w:tcPr>
          <w:p w14:paraId="598A2D29" w14:textId="77777777" w:rsidR="002D096A" w:rsidRDefault="002D096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top w:val="nil"/>
              <w:left w:val="nil"/>
              <w:bottom w:val="single" w:sz="4" w:space="0" w:color="auto"/>
              <w:right w:val="nil"/>
            </w:tcBorders>
            <w:hideMark/>
          </w:tcPr>
          <w:p w14:paraId="24F371F6" w14:textId="77777777" w:rsidR="002D096A" w:rsidRDefault="002D096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Vineyard Estates, Hollister</w:t>
            </w:r>
          </w:p>
        </w:tc>
      </w:tr>
      <w:tr w:rsidR="002D096A" w14:paraId="38B20655" w14:textId="77777777" w:rsidTr="002D096A">
        <w:tc>
          <w:tcPr>
            <w:tcW w:w="4500" w:type="dxa"/>
            <w:gridSpan w:val="4"/>
            <w:hideMark/>
          </w:tcPr>
          <w:p w14:paraId="66330137" w14:textId="77777777" w:rsidR="002D096A" w:rsidRDefault="002D096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tcBorders>
              <w:top w:val="nil"/>
              <w:left w:val="nil"/>
              <w:bottom w:val="single" w:sz="4" w:space="0" w:color="auto"/>
              <w:right w:val="nil"/>
            </w:tcBorders>
            <w:hideMark/>
          </w:tcPr>
          <w:p w14:paraId="4DC2793D" w14:textId="77777777" w:rsidR="002D096A" w:rsidRDefault="002D096A">
            <w:pPr>
              <w:pStyle w:val="BodyText3"/>
              <w:pBdr>
                <w:top w:val="none" w:sz="0" w:space="0" w:color="auto"/>
                <w:left w:val="none" w:sz="0" w:space="0" w:color="auto"/>
                <w:bottom w:val="none" w:sz="0" w:space="0" w:color="auto"/>
                <w:right w:val="none" w:sz="0" w:space="0" w:color="auto"/>
              </w:pBdr>
              <w:spacing w:before="60"/>
              <w:jc w:val="left"/>
              <w:rPr>
                <w:sz w:val="21"/>
                <w:szCs w:val="21"/>
              </w:rPr>
            </w:pPr>
            <w:r>
              <w:rPr>
                <w:rFonts w:ascii="ComicSansMS" w:hAnsi="ComicSansMS" w:cs="ComicSansMS"/>
                <w:sz w:val="22"/>
                <w:szCs w:val="22"/>
              </w:rPr>
              <w:t>N/A at this time.</w:t>
            </w:r>
          </w:p>
        </w:tc>
      </w:tr>
      <w:tr w:rsidR="002D096A" w14:paraId="1367CEEB" w14:textId="77777777" w:rsidTr="002D096A">
        <w:tc>
          <w:tcPr>
            <w:tcW w:w="7110" w:type="dxa"/>
            <w:gridSpan w:val="5"/>
            <w:hideMark/>
          </w:tcPr>
          <w:p w14:paraId="20A9B74F" w14:textId="77777777" w:rsidR="002D096A" w:rsidRDefault="002D096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top w:val="nil"/>
              <w:left w:val="nil"/>
              <w:bottom w:val="single" w:sz="4" w:space="0" w:color="auto"/>
              <w:right w:val="nil"/>
            </w:tcBorders>
            <w:hideMark/>
          </w:tcPr>
          <w:p w14:paraId="29EA0FAB" w14:textId="77777777" w:rsidR="002D096A" w:rsidRDefault="002D096A">
            <w:pPr>
              <w:pStyle w:val="BodyText3"/>
              <w:pBdr>
                <w:top w:val="none" w:sz="0" w:space="0" w:color="auto"/>
                <w:left w:val="none" w:sz="0" w:space="0" w:color="auto"/>
                <w:bottom w:val="none" w:sz="0" w:space="0" w:color="auto"/>
                <w:right w:val="none" w:sz="0" w:space="0" w:color="auto"/>
              </w:pBdr>
              <w:spacing w:before="60"/>
              <w:jc w:val="left"/>
              <w:rPr>
                <w:sz w:val="21"/>
                <w:szCs w:val="21"/>
              </w:rPr>
            </w:pPr>
            <w:r>
              <w:rPr>
                <w:rFonts w:ascii="ComicSansMS" w:hAnsi="ComicSansMS" w:cs="ComicSansMS"/>
                <w:sz w:val="22"/>
                <w:szCs w:val="22"/>
              </w:rPr>
              <w:t>Notification by board</w:t>
            </w:r>
          </w:p>
        </w:tc>
      </w:tr>
      <w:tr w:rsidR="002D096A" w14:paraId="439C2F44" w14:textId="77777777" w:rsidTr="002D096A">
        <w:trPr>
          <w:cantSplit/>
        </w:trPr>
        <w:tc>
          <w:tcPr>
            <w:tcW w:w="2880" w:type="dxa"/>
            <w:hideMark/>
          </w:tcPr>
          <w:p w14:paraId="1079BEE7" w14:textId="77777777" w:rsidR="002D096A" w:rsidRDefault="002D096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For more information, contact: </w:t>
            </w:r>
          </w:p>
        </w:tc>
        <w:tc>
          <w:tcPr>
            <w:tcW w:w="4320" w:type="dxa"/>
            <w:gridSpan w:val="5"/>
            <w:tcBorders>
              <w:top w:val="nil"/>
              <w:left w:val="nil"/>
              <w:bottom w:val="single" w:sz="4" w:space="0" w:color="auto"/>
              <w:right w:val="nil"/>
            </w:tcBorders>
            <w:hideMark/>
          </w:tcPr>
          <w:p w14:paraId="299D59DE" w14:textId="77777777" w:rsidR="002D096A" w:rsidRDefault="002D096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Tom Estrada</w:t>
            </w:r>
          </w:p>
        </w:tc>
        <w:tc>
          <w:tcPr>
            <w:tcW w:w="810" w:type="dxa"/>
            <w:hideMark/>
          </w:tcPr>
          <w:p w14:paraId="148D6B19" w14:textId="77777777" w:rsidR="002D096A" w:rsidRDefault="002D096A">
            <w:pPr>
              <w:pStyle w:val="BodyText3"/>
              <w:pBdr>
                <w:top w:val="none" w:sz="0" w:space="0" w:color="auto"/>
                <w:left w:val="none" w:sz="0" w:space="0" w:color="auto"/>
                <w:bottom w:val="none" w:sz="0" w:space="0" w:color="auto"/>
                <w:right w:val="none" w:sz="0" w:space="0" w:color="auto"/>
              </w:pBdr>
              <w:spacing w:before="60"/>
              <w:ind w:left="-90"/>
              <w:jc w:val="left"/>
              <w:rPr>
                <w:sz w:val="21"/>
                <w:szCs w:val="21"/>
              </w:rPr>
            </w:pPr>
            <w:r>
              <w:rPr>
                <w:sz w:val="21"/>
                <w:szCs w:val="21"/>
              </w:rPr>
              <w:t>Phone:</w:t>
            </w:r>
          </w:p>
        </w:tc>
        <w:tc>
          <w:tcPr>
            <w:tcW w:w="2790" w:type="dxa"/>
            <w:tcBorders>
              <w:top w:val="nil"/>
              <w:left w:val="nil"/>
              <w:bottom w:val="single" w:sz="4" w:space="0" w:color="auto"/>
              <w:right w:val="nil"/>
            </w:tcBorders>
            <w:hideMark/>
          </w:tcPr>
          <w:p w14:paraId="10526292" w14:textId="77777777" w:rsidR="002D096A" w:rsidRDefault="002D096A">
            <w:pPr>
              <w:pStyle w:val="BodyText3"/>
              <w:pBdr>
                <w:top w:val="none" w:sz="0" w:space="0" w:color="auto"/>
                <w:left w:val="none" w:sz="0" w:space="0" w:color="auto"/>
                <w:bottom w:val="none" w:sz="0" w:space="0" w:color="auto"/>
                <w:right w:val="none" w:sz="0" w:space="0" w:color="auto"/>
              </w:pBdr>
              <w:spacing w:before="60"/>
              <w:ind w:left="-90"/>
              <w:rPr>
                <w:sz w:val="21"/>
                <w:szCs w:val="21"/>
              </w:rPr>
            </w:pPr>
            <w:r>
              <w:rPr>
                <w:sz w:val="22"/>
              </w:rPr>
              <w:t>(831)245-7595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D096A">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D096A">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D096A">
        <w:trPr>
          <w:cantSplit/>
          <w:jc w:val="center"/>
        </w:trPr>
        <w:tc>
          <w:tcPr>
            <w:tcW w:w="2249" w:type="dxa"/>
            <w:gridSpan w:val="2"/>
            <w:tcBorders>
              <w:top w:val="nil"/>
              <w:left w:val="single" w:sz="6" w:space="0" w:color="auto"/>
              <w:bottom w:val="single" w:sz="4" w:space="0" w:color="auto"/>
            </w:tcBorders>
            <w:vAlign w:val="center"/>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vAlign w:val="center"/>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vAlign w:val="center"/>
          </w:tcPr>
          <w:p w14:paraId="41570855" w14:textId="5DBE7C63" w:rsidR="00BC6327" w:rsidRPr="00F41F91" w:rsidRDefault="002D096A" w:rsidP="00383730">
            <w:pPr>
              <w:jc w:val="center"/>
              <w:rPr>
                <w:sz w:val="18"/>
                <w:szCs w:val="18"/>
              </w:rPr>
            </w:pPr>
            <w:r>
              <w:rPr>
                <w:sz w:val="18"/>
                <w:szCs w:val="18"/>
              </w:rPr>
              <w:t>0</w:t>
            </w:r>
          </w:p>
        </w:tc>
        <w:tc>
          <w:tcPr>
            <w:tcW w:w="2700" w:type="dxa"/>
            <w:gridSpan w:val="5"/>
            <w:tcBorders>
              <w:top w:val="nil"/>
              <w:bottom w:val="single" w:sz="4" w:space="0" w:color="auto"/>
            </w:tcBorders>
            <w:vAlign w:val="center"/>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vAlign w:val="center"/>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D096A">
        <w:trPr>
          <w:cantSplit/>
          <w:jc w:val="center"/>
        </w:trPr>
        <w:tc>
          <w:tcPr>
            <w:tcW w:w="2249" w:type="dxa"/>
            <w:gridSpan w:val="2"/>
            <w:tcBorders>
              <w:top w:val="single" w:sz="4" w:space="0" w:color="auto"/>
              <w:left w:val="single" w:sz="6" w:space="0" w:color="auto"/>
              <w:bottom w:val="single" w:sz="4" w:space="0" w:color="auto"/>
            </w:tcBorders>
            <w:vAlign w:val="center"/>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vAlign w:val="center"/>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vAlign w:val="center"/>
          </w:tcPr>
          <w:p w14:paraId="49BF3FBF" w14:textId="6FB6D414" w:rsidR="008F7660" w:rsidRPr="00F41F91" w:rsidRDefault="002D096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vAlign w:val="center"/>
          </w:tcPr>
          <w:p w14:paraId="3B71871D" w14:textId="2AC51C58" w:rsidR="008F7660" w:rsidRPr="00F41F91" w:rsidRDefault="002D096A"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D096A">
        <w:trPr>
          <w:cantSplit/>
          <w:jc w:val="center"/>
        </w:trPr>
        <w:tc>
          <w:tcPr>
            <w:tcW w:w="2249" w:type="dxa"/>
            <w:gridSpan w:val="2"/>
            <w:tcBorders>
              <w:top w:val="single" w:sz="4" w:space="0" w:color="auto"/>
              <w:left w:val="single" w:sz="6" w:space="0" w:color="auto"/>
              <w:bottom w:val="single" w:sz="4" w:space="0" w:color="auto"/>
            </w:tcBorders>
            <w:vAlign w:val="center"/>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vAlign w:val="center"/>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vAlign w:val="center"/>
          </w:tcPr>
          <w:p w14:paraId="39CB7EA1" w14:textId="53F2F59B" w:rsidR="005540D9" w:rsidRPr="00F41F91" w:rsidRDefault="002D096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vAlign w:val="center"/>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D096A">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D096A" w:rsidRPr="001F3468" w14:paraId="7387DB52" w14:textId="77777777" w:rsidTr="00AE696D">
        <w:trPr>
          <w:jc w:val="center"/>
        </w:trPr>
        <w:tc>
          <w:tcPr>
            <w:tcW w:w="2241" w:type="dxa"/>
            <w:tcBorders>
              <w:top w:val="nil"/>
              <w:left w:val="single" w:sz="6" w:space="0" w:color="auto"/>
              <w:bottom w:val="nil"/>
            </w:tcBorders>
            <w:vAlign w:val="center"/>
          </w:tcPr>
          <w:p w14:paraId="5F0C451E" w14:textId="77777777" w:rsidR="002D096A" w:rsidRPr="00F41F91" w:rsidRDefault="002D096A" w:rsidP="002D096A">
            <w:pPr>
              <w:rPr>
                <w:sz w:val="18"/>
              </w:rPr>
            </w:pPr>
            <w:r w:rsidRPr="00F41F91">
              <w:rPr>
                <w:sz w:val="18"/>
              </w:rPr>
              <w:t>Lead (ppb)</w:t>
            </w:r>
          </w:p>
        </w:tc>
        <w:tc>
          <w:tcPr>
            <w:tcW w:w="810" w:type="dxa"/>
            <w:gridSpan w:val="2"/>
            <w:tcBorders>
              <w:top w:val="nil"/>
              <w:left w:val="single" w:sz="4" w:space="0" w:color="auto"/>
              <w:bottom w:val="single" w:sz="4" w:space="0" w:color="auto"/>
              <w:right w:val="single" w:sz="4" w:space="0" w:color="auto"/>
            </w:tcBorders>
            <w:vAlign w:val="center"/>
          </w:tcPr>
          <w:p w14:paraId="74C46DDB" w14:textId="74EE5D85" w:rsidR="002D096A" w:rsidRPr="00F41F91" w:rsidRDefault="0011262B" w:rsidP="0011262B">
            <w:pPr>
              <w:jc w:val="center"/>
              <w:rPr>
                <w:sz w:val="18"/>
              </w:rPr>
            </w:pPr>
            <w:r>
              <w:rPr>
                <w:sz w:val="18"/>
              </w:rPr>
              <w:t>9/</w:t>
            </w:r>
            <w:r w:rsidR="002D096A">
              <w:rPr>
                <w:sz w:val="18"/>
              </w:rPr>
              <w:t>1</w:t>
            </w:r>
            <w:r w:rsidR="005669AF">
              <w:rPr>
                <w:sz w:val="18"/>
              </w:rPr>
              <w:t>8</w:t>
            </w:r>
          </w:p>
        </w:tc>
        <w:tc>
          <w:tcPr>
            <w:tcW w:w="991" w:type="dxa"/>
            <w:gridSpan w:val="2"/>
            <w:tcBorders>
              <w:top w:val="nil"/>
              <w:left w:val="single" w:sz="4" w:space="0" w:color="auto"/>
              <w:bottom w:val="single" w:sz="4" w:space="0" w:color="auto"/>
              <w:right w:val="single" w:sz="4" w:space="0" w:color="auto"/>
            </w:tcBorders>
            <w:vAlign w:val="center"/>
          </w:tcPr>
          <w:p w14:paraId="2EB76238" w14:textId="069A8613" w:rsidR="002D096A" w:rsidRPr="00F41F91" w:rsidRDefault="002D096A" w:rsidP="002D096A">
            <w:pPr>
              <w:jc w:val="center"/>
              <w:rPr>
                <w:sz w:val="18"/>
              </w:rPr>
            </w:pPr>
            <w:r>
              <w:rPr>
                <w:sz w:val="18"/>
              </w:rPr>
              <w:t xml:space="preserve">5 </w:t>
            </w:r>
          </w:p>
        </w:tc>
        <w:tc>
          <w:tcPr>
            <w:tcW w:w="990" w:type="dxa"/>
            <w:gridSpan w:val="2"/>
            <w:tcBorders>
              <w:top w:val="nil"/>
              <w:left w:val="single" w:sz="4" w:space="0" w:color="auto"/>
              <w:bottom w:val="nil"/>
              <w:right w:val="single" w:sz="4" w:space="0" w:color="auto"/>
            </w:tcBorders>
            <w:vAlign w:val="center"/>
          </w:tcPr>
          <w:p w14:paraId="71164551" w14:textId="1DA9D20D" w:rsidR="002D096A" w:rsidRDefault="005669AF" w:rsidP="005669AF">
            <w:pPr>
              <w:rPr>
                <w:sz w:val="18"/>
              </w:rPr>
            </w:pPr>
            <w:r>
              <w:rPr>
                <w:sz w:val="18"/>
              </w:rPr>
              <w:t>0.0026</w:t>
            </w:r>
          </w:p>
          <w:p w14:paraId="4C3FDB54" w14:textId="77777777" w:rsidR="002D096A" w:rsidRPr="00F41F91" w:rsidRDefault="002D096A" w:rsidP="002D096A">
            <w:pPr>
              <w:jc w:val="center"/>
              <w:rPr>
                <w:sz w:val="18"/>
              </w:rPr>
            </w:pPr>
          </w:p>
        </w:tc>
        <w:tc>
          <w:tcPr>
            <w:tcW w:w="1080" w:type="dxa"/>
            <w:tcBorders>
              <w:top w:val="nil"/>
              <w:left w:val="single" w:sz="4" w:space="0" w:color="auto"/>
              <w:bottom w:val="nil"/>
              <w:right w:val="single" w:sz="4" w:space="0" w:color="auto"/>
            </w:tcBorders>
            <w:vAlign w:val="center"/>
          </w:tcPr>
          <w:p w14:paraId="7E6E1A06" w14:textId="77777777" w:rsidR="002D096A" w:rsidRDefault="002D096A" w:rsidP="002D096A">
            <w:pPr>
              <w:jc w:val="center"/>
              <w:rPr>
                <w:sz w:val="18"/>
              </w:rPr>
            </w:pPr>
            <w:r>
              <w:rPr>
                <w:sz w:val="18"/>
              </w:rPr>
              <w:t>0</w:t>
            </w:r>
          </w:p>
          <w:p w14:paraId="48CE0F50" w14:textId="77777777" w:rsidR="002D096A" w:rsidRPr="00F41F91" w:rsidRDefault="002D096A" w:rsidP="002D096A">
            <w:pPr>
              <w:jc w:val="center"/>
              <w:rPr>
                <w:sz w:val="18"/>
              </w:rPr>
            </w:pPr>
          </w:p>
        </w:tc>
        <w:tc>
          <w:tcPr>
            <w:tcW w:w="677" w:type="dxa"/>
            <w:tcBorders>
              <w:top w:val="nil"/>
              <w:bottom w:val="nil"/>
            </w:tcBorders>
            <w:vAlign w:val="center"/>
          </w:tcPr>
          <w:p w14:paraId="242E5C30" w14:textId="77777777" w:rsidR="002D096A" w:rsidRPr="00F41F91" w:rsidRDefault="002D096A" w:rsidP="002D096A">
            <w:pPr>
              <w:jc w:val="center"/>
              <w:rPr>
                <w:sz w:val="18"/>
              </w:rPr>
            </w:pPr>
            <w:r w:rsidRPr="00F41F91">
              <w:rPr>
                <w:sz w:val="18"/>
              </w:rPr>
              <w:t>15</w:t>
            </w:r>
          </w:p>
        </w:tc>
        <w:tc>
          <w:tcPr>
            <w:tcW w:w="677" w:type="dxa"/>
            <w:tcBorders>
              <w:top w:val="nil"/>
              <w:bottom w:val="nil"/>
            </w:tcBorders>
            <w:vAlign w:val="center"/>
          </w:tcPr>
          <w:p w14:paraId="21935509" w14:textId="77777777" w:rsidR="002D096A" w:rsidRPr="00F41F91" w:rsidRDefault="002D096A" w:rsidP="002D096A">
            <w:pPr>
              <w:jc w:val="center"/>
              <w:rPr>
                <w:sz w:val="18"/>
              </w:rPr>
            </w:pPr>
            <w:r w:rsidRPr="00F41F91">
              <w:rPr>
                <w:sz w:val="18"/>
              </w:rPr>
              <w:t>0.2</w:t>
            </w:r>
          </w:p>
        </w:tc>
        <w:tc>
          <w:tcPr>
            <w:tcW w:w="1260" w:type="dxa"/>
            <w:gridSpan w:val="2"/>
            <w:tcBorders>
              <w:top w:val="nil"/>
              <w:bottom w:val="nil"/>
            </w:tcBorders>
            <w:vAlign w:val="center"/>
          </w:tcPr>
          <w:p w14:paraId="2C320B91" w14:textId="77777777" w:rsidR="002D096A" w:rsidRPr="00F41F91" w:rsidRDefault="002D096A" w:rsidP="002D096A">
            <w:pPr>
              <w:jc w:val="center"/>
              <w:rPr>
                <w:sz w:val="17"/>
                <w:szCs w:val="16"/>
              </w:rPr>
            </w:pPr>
          </w:p>
        </w:tc>
        <w:tc>
          <w:tcPr>
            <w:tcW w:w="2070" w:type="dxa"/>
            <w:tcBorders>
              <w:top w:val="nil"/>
              <w:bottom w:val="nil"/>
              <w:right w:val="single" w:sz="6" w:space="0" w:color="auto"/>
            </w:tcBorders>
            <w:vAlign w:val="center"/>
          </w:tcPr>
          <w:p w14:paraId="16F29697" w14:textId="77777777" w:rsidR="002D096A" w:rsidRPr="00F41F91" w:rsidRDefault="002D096A" w:rsidP="002D096A">
            <w:pPr>
              <w:rPr>
                <w:sz w:val="17"/>
                <w:szCs w:val="16"/>
              </w:rPr>
            </w:pPr>
            <w:r w:rsidRPr="00F41F91">
              <w:rPr>
                <w:sz w:val="17"/>
                <w:szCs w:val="16"/>
              </w:rPr>
              <w:t>Internal corrosion of household water plumbing systems; discharges from industrial manufacturers; erosion of natural deposits</w:t>
            </w:r>
          </w:p>
        </w:tc>
      </w:tr>
      <w:tr w:rsidR="002D096A" w:rsidRPr="001F3468" w14:paraId="6242C308" w14:textId="77777777" w:rsidTr="00AE696D">
        <w:trPr>
          <w:jc w:val="center"/>
        </w:trPr>
        <w:tc>
          <w:tcPr>
            <w:tcW w:w="2241" w:type="dxa"/>
            <w:tcBorders>
              <w:left w:val="single" w:sz="6" w:space="0" w:color="auto"/>
              <w:bottom w:val="single" w:sz="18" w:space="0" w:color="auto"/>
            </w:tcBorders>
            <w:vAlign w:val="center"/>
          </w:tcPr>
          <w:p w14:paraId="3DF5C908" w14:textId="77777777" w:rsidR="002D096A" w:rsidRPr="00F41F91" w:rsidRDefault="002D096A" w:rsidP="002D096A">
            <w:pPr>
              <w:rPr>
                <w:sz w:val="18"/>
              </w:rPr>
            </w:pPr>
            <w:r w:rsidRPr="00F41F91">
              <w:rPr>
                <w:sz w:val="18"/>
              </w:rPr>
              <w:t>Copper (ppm)</w:t>
            </w:r>
          </w:p>
        </w:tc>
        <w:tc>
          <w:tcPr>
            <w:tcW w:w="810" w:type="dxa"/>
            <w:gridSpan w:val="2"/>
            <w:tcBorders>
              <w:top w:val="single" w:sz="4" w:space="0" w:color="auto"/>
              <w:left w:val="single" w:sz="4" w:space="0" w:color="auto"/>
              <w:bottom w:val="single" w:sz="18" w:space="0" w:color="auto"/>
              <w:right w:val="single" w:sz="4" w:space="0" w:color="auto"/>
            </w:tcBorders>
            <w:vAlign w:val="center"/>
          </w:tcPr>
          <w:p w14:paraId="192E15A5" w14:textId="0463D047" w:rsidR="002D096A" w:rsidRPr="00F41F91" w:rsidRDefault="0011262B" w:rsidP="002D096A">
            <w:pPr>
              <w:jc w:val="center"/>
              <w:rPr>
                <w:sz w:val="18"/>
              </w:rPr>
            </w:pPr>
            <w:r>
              <w:rPr>
                <w:sz w:val="18"/>
              </w:rPr>
              <w:t>9/</w:t>
            </w:r>
            <w:r w:rsidR="002D096A">
              <w:rPr>
                <w:sz w:val="18"/>
              </w:rPr>
              <w:t>1</w:t>
            </w:r>
            <w:r w:rsidR="005669AF">
              <w:rPr>
                <w:sz w:val="18"/>
              </w:rPr>
              <w:t>8</w:t>
            </w:r>
          </w:p>
        </w:tc>
        <w:tc>
          <w:tcPr>
            <w:tcW w:w="991" w:type="dxa"/>
            <w:gridSpan w:val="2"/>
            <w:tcBorders>
              <w:top w:val="single" w:sz="4" w:space="0" w:color="auto"/>
              <w:left w:val="single" w:sz="4" w:space="0" w:color="auto"/>
              <w:bottom w:val="single" w:sz="18" w:space="0" w:color="auto"/>
              <w:right w:val="single" w:sz="4" w:space="0" w:color="auto"/>
            </w:tcBorders>
            <w:vAlign w:val="center"/>
          </w:tcPr>
          <w:p w14:paraId="18011756" w14:textId="74B0E52C" w:rsidR="002D096A" w:rsidRPr="00F41F91" w:rsidRDefault="002D096A" w:rsidP="002D096A">
            <w:pPr>
              <w:jc w:val="center"/>
              <w:rPr>
                <w:sz w:val="18"/>
              </w:rPr>
            </w:pPr>
            <w:r>
              <w:rPr>
                <w:sz w:val="18"/>
              </w:rPr>
              <w:t>5</w:t>
            </w: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CE90126" w14:textId="577A9D4D" w:rsidR="002D096A" w:rsidRPr="00F41F91" w:rsidRDefault="005669AF" w:rsidP="002D096A">
            <w:pPr>
              <w:jc w:val="center"/>
              <w:rPr>
                <w:sz w:val="18"/>
              </w:rPr>
            </w:pPr>
            <w:r>
              <w:rPr>
                <w:sz w:val="18"/>
              </w:rPr>
              <w:t>0.17</w:t>
            </w:r>
          </w:p>
        </w:tc>
        <w:tc>
          <w:tcPr>
            <w:tcW w:w="1080" w:type="dxa"/>
            <w:tcBorders>
              <w:top w:val="single" w:sz="4" w:space="0" w:color="auto"/>
              <w:left w:val="single" w:sz="4" w:space="0" w:color="auto"/>
              <w:bottom w:val="single" w:sz="18" w:space="0" w:color="auto"/>
              <w:right w:val="single" w:sz="4" w:space="0" w:color="auto"/>
            </w:tcBorders>
            <w:vAlign w:val="center"/>
          </w:tcPr>
          <w:p w14:paraId="11DE16E1" w14:textId="6955CF2F" w:rsidR="002D096A" w:rsidRPr="00F41F91" w:rsidRDefault="002D096A" w:rsidP="002D096A">
            <w:pPr>
              <w:jc w:val="center"/>
              <w:rPr>
                <w:sz w:val="18"/>
              </w:rPr>
            </w:pPr>
            <w:r>
              <w:rPr>
                <w:sz w:val="18"/>
              </w:rPr>
              <w:t>0</w:t>
            </w:r>
          </w:p>
        </w:tc>
        <w:tc>
          <w:tcPr>
            <w:tcW w:w="677" w:type="dxa"/>
            <w:tcBorders>
              <w:bottom w:val="single" w:sz="18" w:space="0" w:color="auto"/>
            </w:tcBorders>
            <w:vAlign w:val="center"/>
          </w:tcPr>
          <w:p w14:paraId="102063D3" w14:textId="77777777" w:rsidR="002D096A" w:rsidRPr="00F41F91" w:rsidRDefault="002D096A" w:rsidP="002D096A">
            <w:pPr>
              <w:jc w:val="center"/>
              <w:rPr>
                <w:sz w:val="18"/>
              </w:rPr>
            </w:pPr>
            <w:r w:rsidRPr="00F41F91">
              <w:rPr>
                <w:sz w:val="18"/>
              </w:rPr>
              <w:t>1.3</w:t>
            </w:r>
          </w:p>
        </w:tc>
        <w:tc>
          <w:tcPr>
            <w:tcW w:w="677" w:type="dxa"/>
            <w:tcBorders>
              <w:bottom w:val="single" w:sz="18" w:space="0" w:color="auto"/>
            </w:tcBorders>
            <w:vAlign w:val="center"/>
          </w:tcPr>
          <w:p w14:paraId="45A23DF7" w14:textId="77777777" w:rsidR="002D096A" w:rsidRPr="00F41F91" w:rsidRDefault="002D096A" w:rsidP="002D096A">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2D096A" w:rsidRPr="00F41F91" w:rsidRDefault="002D096A" w:rsidP="002D096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vAlign w:val="center"/>
          </w:tcPr>
          <w:p w14:paraId="57E0B313" w14:textId="77777777" w:rsidR="002D096A" w:rsidRPr="00F41F91" w:rsidRDefault="002D096A" w:rsidP="002D096A">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6"/>
        <w:gridCol w:w="20"/>
        <w:gridCol w:w="990"/>
        <w:gridCol w:w="1350"/>
        <w:gridCol w:w="1439"/>
        <w:gridCol w:w="900"/>
        <w:gridCol w:w="1080"/>
        <w:gridCol w:w="2805"/>
        <w:gridCol w:w="6"/>
      </w:tblGrid>
      <w:tr w:rsidR="00B3023D" w:rsidRPr="001F3468" w14:paraId="7B282573" w14:textId="77777777" w:rsidTr="002D096A">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D096A">
        <w:trPr>
          <w:jc w:val="center"/>
        </w:trPr>
        <w:tc>
          <w:tcPr>
            <w:tcW w:w="2246"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10"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39"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11"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2D096A" w:rsidRPr="001F3468" w14:paraId="0E0C1E93" w14:textId="77777777" w:rsidTr="002D096A">
        <w:trPr>
          <w:trHeight w:val="432"/>
          <w:jc w:val="center"/>
        </w:trPr>
        <w:tc>
          <w:tcPr>
            <w:tcW w:w="2246" w:type="dxa"/>
            <w:tcBorders>
              <w:top w:val="nil"/>
              <w:left w:val="single" w:sz="6" w:space="0" w:color="auto"/>
              <w:bottom w:val="single" w:sz="4" w:space="0" w:color="auto"/>
            </w:tcBorders>
            <w:vAlign w:val="center"/>
          </w:tcPr>
          <w:p w14:paraId="66AD9F49" w14:textId="77777777" w:rsidR="002D096A" w:rsidRPr="00F41F91" w:rsidRDefault="002D096A" w:rsidP="002D096A">
            <w:pPr>
              <w:rPr>
                <w:sz w:val="18"/>
              </w:rPr>
            </w:pPr>
            <w:r w:rsidRPr="00F41F91">
              <w:rPr>
                <w:sz w:val="18"/>
              </w:rPr>
              <w:t>Sodium (ppm)</w:t>
            </w:r>
          </w:p>
        </w:tc>
        <w:tc>
          <w:tcPr>
            <w:tcW w:w="1010" w:type="dxa"/>
            <w:gridSpan w:val="2"/>
            <w:tcBorders>
              <w:top w:val="nil"/>
              <w:left w:val="single" w:sz="4" w:space="0" w:color="auto"/>
              <w:bottom w:val="single" w:sz="4" w:space="0" w:color="auto"/>
              <w:right w:val="single" w:sz="4" w:space="0" w:color="auto"/>
            </w:tcBorders>
            <w:vAlign w:val="center"/>
          </w:tcPr>
          <w:p w14:paraId="2DC49168" w14:textId="3E48B27B" w:rsidR="002D096A" w:rsidRPr="00F41F91" w:rsidRDefault="002D096A" w:rsidP="002D096A">
            <w:pPr>
              <w:jc w:val="center"/>
              <w:rPr>
                <w:sz w:val="18"/>
              </w:rPr>
            </w:pPr>
            <w:r>
              <w:rPr>
                <w:sz w:val="18"/>
              </w:rPr>
              <w:t>5/17</w:t>
            </w:r>
          </w:p>
        </w:tc>
        <w:tc>
          <w:tcPr>
            <w:tcW w:w="1350" w:type="dxa"/>
            <w:tcBorders>
              <w:top w:val="nil"/>
              <w:left w:val="single" w:sz="4" w:space="0" w:color="auto"/>
              <w:bottom w:val="single" w:sz="4" w:space="0" w:color="auto"/>
              <w:right w:val="single" w:sz="4" w:space="0" w:color="auto"/>
            </w:tcBorders>
            <w:vAlign w:val="center"/>
          </w:tcPr>
          <w:p w14:paraId="690B0D1C" w14:textId="05F3DD66" w:rsidR="002D096A" w:rsidRPr="00F41F91" w:rsidRDefault="002D096A" w:rsidP="002D096A">
            <w:pPr>
              <w:jc w:val="center"/>
              <w:rPr>
                <w:sz w:val="18"/>
              </w:rPr>
            </w:pPr>
            <w:r>
              <w:rPr>
                <w:sz w:val="18"/>
              </w:rPr>
              <w:t>100</w:t>
            </w:r>
          </w:p>
        </w:tc>
        <w:tc>
          <w:tcPr>
            <w:tcW w:w="1439" w:type="dxa"/>
            <w:tcBorders>
              <w:top w:val="nil"/>
              <w:left w:val="single" w:sz="4" w:space="0" w:color="auto"/>
              <w:bottom w:val="single" w:sz="4" w:space="0" w:color="auto"/>
              <w:right w:val="single" w:sz="4" w:space="0" w:color="auto"/>
            </w:tcBorders>
            <w:vAlign w:val="center"/>
          </w:tcPr>
          <w:p w14:paraId="6802CC34" w14:textId="778134D1" w:rsidR="002D096A" w:rsidRPr="00F41F91" w:rsidRDefault="002D096A" w:rsidP="002D096A">
            <w:pPr>
              <w:jc w:val="center"/>
              <w:rPr>
                <w:sz w:val="18"/>
              </w:rPr>
            </w:pPr>
            <w:r>
              <w:rPr>
                <w:sz w:val="18"/>
              </w:rPr>
              <w:t>100</w:t>
            </w:r>
          </w:p>
        </w:tc>
        <w:tc>
          <w:tcPr>
            <w:tcW w:w="900" w:type="dxa"/>
            <w:tcBorders>
              <w:top w:val="nil"/>
              <w:bottom w:val="single" w:sz="4" w:space="0" w:color="auto"/>
            </w:tcBorders>
            <w:vAlign w:val="center"/>
          </w:tcPr>
          <w:p w14:paraId="4E60C959" w14:textId="77777777" w:rsidR="002D096A" w:rsidRPr="00F41F91" w:rsidRDefault="002D096A" w:rsidP="002D096A">
            <w:pPr>
              <w:jc w:val="center"/>
              <w:rPr>
                <w:sz w:val="18"/>
              </w:rPr>
            </w:pPr>
            <w:r w:rsidRPr="00F41F91">
              <w:rPr>
                <w:sz w:val="18"/>
              </w:rPr>
              <w:t>None</w:t>
            </w:r>
          </w:p>
        </w:tc>
        <w:tc>
          <w:tcPr>
            <w:tcW w:w="1080" w:type="dxa"/>
            <w:tcBorders>
              <w:top w:val="nil"/>
              <w:bottom w:val="single" w:sz="4" w:space="0" w:color="auto"/>
            </w:tcBorders>
            <w:vAlign w:val="center"/>
          </w:tcPr>
          <w:p w14:paraId="721928BB" w14:textId="77777777" w:rsidR="002D096A" w:rsidRPr="00F41F91" w:rsidRDefault="002D096A" w:rsidP="002D096A">
            <w:pPr>
              <w:jc w:val="center"/>
              <w:rPr>
                <w:sz w:val="18"/>
              </w:rPr>
            </w:pPr>
            <w:r w:rsidRPr="00F41F91">
              <w:rPr>
                <w:sz w:val="18"/>
              </w:rPr>
              <w:t>None</w:t>
            </w:r>
          </w:p>
        </w:tc>
        <w:tc>
          <w:tcPr>
            <w:tcW w:w="2811" w:type="dxa"/>
            <w:gridSpan w:val="2"/>
            <w:tcBorders>
              <w:top w:val="nil"/>
              <w:bottom w:val="single" w:sz="4" w:space="0" w:color="auto"/>
              <w:right w:val="single" w:sz="6" w:space="0" w:color="auto"/>
            </w:tcBorders>
            <w:vAlign w:val="center"/>
          </w:tcPr>
          <w:p w14:paraId="4A3C8020" w14:textId="77777777" w:rsidR="002D096A" w:rsidRPr="00F41F91" w:rsidRDefault="002D096A" w:rsidP="002D096A">
            <w:pPr>
              <w:rPr>
                <w:sz w:val="18"/>
              </w:rPr>
            </w:pPr>
            <w:r w:rsidRPr="00F41F91">
              <w:rPr>
                <w:sz w:val="18"/>
              </w:rPr>
              <w:t>Salt present in the water and is generally naturally occurring</w:t>
            </w:r>
          </w:p>
        </w:tc>
      </w:tr>
      <w:tr w:rsidR="002D096A" w:rsidRPr="001F3468" w14:paraId="2ACD2463" w14:textId="77777777" w:rsidTr="002D096A">
        <w:trPr>
          <w:jc w:val="center"/>
        </w:trPr>
        <w:tc>
          <w:tcPr>
            <w:tcW w:w="2246" w:type="dxa"/>
            <w:tcBorders>
              <w:left w:val="single" w:sz="6" w:space="0" w:color="auto"/>
              <w:bottom w:val="single" w:sz="18" w:space="0" w:color="auto"/>
            </w:tcBorders>
            <w:vAlign w:val="center"/>
          </w:tcPr>
          <w:p w14:paraId="01FDA3CE" w14:textId="77777777" w:rsidR="002D096A" w:rsidRPr="00F41F91" w:rsidRDefault="002D096A" w:rsidP="002D096A">
            <w:pPr>
              <w:rPr>
                <w:sz w:val="18"/>
              </w:rPr>
            </w:pPr>
            <w:r w:rsidRPr="00F41F91">
              <w:rPr>
                <w:sz w:val="18"/>
              </w:rPr>
              <w:t>Hardness (ppm)</w:t>
            </w:r>
          </w:p>
        </w:tc>
        <w:tc>
          <w:tcPr>
            <w:tcW w:w="1010" w:type="dxa"/>
            <w:gridSpan w:val="2"/>
            <w:tcBorders>
              <w:top w:val="single" w:sz="4" w:space="0" w:color="auto"/>
              <w:left w:val="single" w:sz="4" w:space="0" w:color="auto"/>
              <w:bottom w:val="single" w:sz="18" w:space="0" w:color="auto"/>
              <w:right w:val="single" w:sz="4" w:space="0" w:color="auto"/>
            </w:tcBorders>
            <w:vAlign w:val="center"/>
          </w:tcPr>
          <w:p w14:paraId="7A81C45D" w14:textId="32D440EB" w:rsidR="002D096A" w:rsidRPr="00F41F91" w:rsidRDefault="002D096A" w:rsidP="002D096A">
            <w:pPr>
              <w:jc w:val="center"/>
              <w:rPr>
                <w:sz w:val="18"/>
              </w:rPr>
            </w:pPr>
            <w:r>
              <w:rPr>
                <w:sz w:val="18"/>
              </w:rPr>
              <w:t>5/17</w:t>
            </w:r>
          </w:p>
        </w:tc>
        <w:tc>
          <w:tcPr>
            <w:tcW w:w="1350" w:type="dxa"/>
            <w:tcBorders>
              <w:top w:val="single" w:sz="4" w:space="0" w:color="auto"/>
              <w:left w:val="single" w:sz="4" w:space="0" w:color="auto"/>
              <w:bottom w:val="single" w:sz="18" w:space="0" w:color="auto"/>
              <w:right w:val="single" w:sz="4" w:space="0" w:color="auto"/>
            </w:tcBorders>
            <w:vAlign w:val="center"/>
          </w:tcPr>
          <w:p w14:paraId="5F571C45" w14:textId="13CB4F1D" w:rsidR="002D096A" w:rsidRPr="00F41F91" w:rsidRDefault="002D096A" w:rsidP="002D096A">
            <w:pPr>
              <w:jc w:val="center"/>
              <w:rPr>
                <w:sz w:val="18"/>
              </w:rPr>
            </w:pPr>
            <w:r>
              <w:rPr>
                <w:sz w:val="18"/>
              </w:rPr>
              <w:t>410</w:t>
            </w:r>
          </w:p>
        </w:tc>
        <w:tc>
          <w:tcPr>
            <w:tcW w:w="1439" w:type="dxa"/>
            <w:tcBorders>
              <w:top w:val="single" w:sz="4" w:space="0" w:color="auto"/>
              <w:left w:val="single" w:sz="4" w:space="0" w:color="auto"/>
              <w:bottom w:val="single" w:sz="18" w:space="0" w:color="auto"/>
              <w:right w:val="single" w:sz="4" w:space="0" w:color="auto"/>
            </w:tcBorders>
            <w:vAlign w:val="center"/>
          </w:tcPr>
          <w:p w14:paraId="79A6D9E8" w14:textId="77777777" w:rsidR="002D096A" w:rsidRDefault="002D096A" w:rsidP="002D096A">
            <w:pPr>
              <w:jc w:val="center"/>
              <w:rPr>
                <w:sz w:val="18"/>
              </w:rPr>
            </w:pPr>
          </w:p>
          <w:p w14:paraId="11029956" w14:textId="77777777" w:rsidR="002D096A" w:rsidRDefault="002D096A" w:rsidP="002D096A">
            <w:pPr>
              <w:jc w:val="center"/>
              <w:rPr>
                <w:sz w:val="18"/>
              </w:rPr>
            </w:pPr>
            <w:r>
              <w:rPr>
                <w:sz w:val="18"/>
              </w:rPr>
              <w:t>410</w:t>
            </w:r>
          </w:p>
          <w:p w14:paraId="2BE476FB" w14:textId="77777777" w:rsidR="002D096A" w:rsidRPr="00F41F91" w:rsidRDefault="002D096A" w:rsidP="002D096A">
            <w:pPr>
              <w:jc w:val="center"/>
              <w:rPr>
                <w:sz w:val="18"/>
              </w:rPr>
            </w:pPr>
          </w:p>
        </w:tc>
        <w:tc>
          <w:tcPr>
            <w:tcW w:w="900" w:type="dxa"/>
            <w:tcBorders>
              <w:bottom w:val="single" w:sz="18" w:space="0" w:color="auto"/>
            </w:tcBorders>
            <w:vAlign w:val="center"/>
          </w:tcPr>
          <w:p w14:paraId="76B554F2" w14:textId="77777777" w:rsidR="002D096A" w:rsidRPr="00F41F91" w:rsidRDefault="002D096A" w:rsidP="002D096A">
            <w:pPr>
              <w:jc w:val="center"/>
              <w:rPr>
                <w:sz w:val="18"/>
              </w:rPr>
            </w:pPr>
            <w:r w:rsidRPr="00F41F91">
              <w:rPr>
                <w:sz w:val="18"/>
              </w:rPr>
              <w:t>None</w:t>
            </w:r>
          </w:p>
        </w:tc>
        <w:tc>
          <w:tcPr>
            <w:tcW w:w="1080" w:type="dxa"/>
            <w:tcBorders>
              <w:bottom w:val="single" w:sz="18" w:space="0" w:color="auto"/>
            </w:tcBorders>
            <w:vAlign w:val="center"/>
          </w:tcPr>
          <w:p w14:paraId="2588B8FC" w14:textId="77777777" w:rsidR="002D096A" w:rsidRPr="00F41F91" w:rsidRDefault="002D096A" w:rsidP="002D096A">
            <w:pPr>
              <w:jc w:val="center"/>
              <w:rPr>
                <w:sz w:val="18"/>
              </w:rPr>
            </w:pPr>
            <w:r w:rsidRPr="00F41F91">
              <w:rPr>
                <w:sz w:val="18"/>
              </w:rPr>
              <w:t>None</w:t>
            </w:r>
          </w:p>
        </w:tc>
        <w:tc>
          <w:tcPr>
            <w:tcW w:w="2811" w:type="dxa"/>
            <w:gridSpan w:val="2"/>
            <w:tcBorders>
              <w:bottom w:val="single" w:sz="18" w:space="0" w:color="auto"/>
              <w:right w:val="single" w:sz="6" w:space="0" w:color="auto"/>
            </w:tcBorders>
            <w:vAlign w:val="center"/>
          </w:tcPr>
          <w:p w14:paraId="092D52C6" w14:textId="77777777" w:rsidR="002D096A" w:rsidRPr="00F41F91" w:rsidRDefault="002D096A" w:rsidP="002D096A">
            <w:pPr>
              <w:rPr>
                <w:sz w:val="18"/>
              </w:rPr>
            </w:pPr>
            <w:r w:rsidRPr="00F41F91">
              <w:rPr>
                <w:sz w:val="18"/>
              </w:rPr>
              <w:t>Sum of polyvalent cations present in the water, generally magnesium and calcium, and are usually naturally occurring</w:t>
            </w:r>
          </w:p>
        </w:tc>
      </w:tr>
      <w:tr w:rsidR="002D096A" w:rsidRPr="001F3468" w14:paraId="78A620DA" w14:textId="77777777" w:rsidTr="002D096A">
        <w:trPr>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1AF9B51F" w14:textId="77777777" w:rsidR="002D096A" w:rsidRPr="00F41F91" w:rsidRDefault="002D096A" w:rsidP="002D096A">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2D096A" w:rsidRPr="001F3468" w14:paraId="43FFA17C" w14:textId="77777777" w:rsidTr="002D096A">
        <w:trPr>
          <w:jc w:val="center"/>
        </w:trPr>
        <w:tc>
          <w:tcPr>
            <w:tcW w:w="2266" w:type="dxa"/>
            <w:gridSpan w:val="2"/>
            <w:tcBorders>
              <w:top w:val="single" w:sz="18" w:space="0" w:color="auto"/>
              <w:left w:val="single" w:sz="6" w:space="0" w:color="auto"/>
              <w:bottom w:val="double" w:sz="6" w:space="0" w:color="auto"/>
            </w:tcBorders>
            <w:vAlign w:val="center"/>
          </w:tcPr>
          <w:p w14:paraId="18474D0C" w14:textId="77777777" w:rsidR="002D096A" w:rsidRPr="00F41F91" w:rsidRDefault="002D096A" w:rsidP="002D096A">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2D096A" w:rsidRPr="00F41F91" w:rsidRDefault="002D096A" w:rsidP="002D096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2D096A" w:rsidRPr="00F41F91" w:rsidRDefault="002D096A" w:rsidP="002D096A">
            <w:pPr>
              <w:spacing w:before="40" w:after="40"/>
              <w:jc w:val="center"/>
              <w:rPr>
                <w:b/>
                <w:sz w:val="18"/>
              </w:rPr>
            </w:pPr>
            <w:r w:rsidRPr="00F41F91">
              <w:rPr>
                <w:b/>
                <w:sz w:val="18"/>
              </w:rPr>
              <w:t>Level</w:t>
            </w:r>
            <w:r w:rsidRPr="00F41F91">
              <w:rPr>
                <w:b/>
                <w:sz w:val="18"/>
              </w:rPr>
              <w:br/>
              <w:t>Detected</w:t>
            </w:r>
          </w:p>
        </w:tc>
        <w:tc>
          <w:tcPr>
            <w:tcW w:w="1439" w:type="dxa"/>
            <w:tcBorders>
              <w:top w:val="single" w:sz="18" w:space="0" w:color="auto"/>
              <w:bottom w:val="double" w:sz="6" w:space="0" w:color="auto"/>
            </w:tcBorders>
            <w:vAlign w:val="center"/>
          </w:tcPr>
          <w:p w14:paraId="2660B2F3" w14:textId="77777777" w:rsidR="002D096A" w:rsidRPr="00F41F91" w:rsidRDefault="002D096A" w:rsidP="002D096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2D096A" w:rsidRPr="00F41F91" w:rsidRDefault="002D096A" w:rsidP="002D096A">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2D096A" w:rsidRPr="00F41F91" w:rsidRDefault="002D096A" w:rsidP="002D096A">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11" w:type="dxa"/>
            <w:gridSpan w:val="2"/>
            <w:tcBorders>
              <w:top w:val="single" w:sz="18" w:space="0" w:color="auto"/>
              <w:bottom w:val="double" w:sz="6" w:space="0" w:color="auto"/>
              <w:right w:val="single" w:sz="6" w:space="0" w:color="auto"/>
            </w:tcBorders>
            <w:vAlign w:val="center"/>
          </w:tcPr>
          <w:p w14:paraId="06AA07F3" w14:textId="77777777" w:rsidR="002D096A" w:rsidRPr="00F41F91" w:rsidRDefault="002D096A" w:rsidP="002D096A">
            <w:pPr>
              <w:spacing w:before="40" w:after="40"/>
              <w:jc w:val="center"/>
              <w:rPr>
                <w:b/>
                <w:sz w:val="18"/>
              </w:rPr>
            </w:pPr>
            <w:r w:rsidRPr="00F41F91">
              <w:rPr>
                <w:b/>
                <w:sz w:val="18"/>
              </w:rPr>
              <w:t>Typical Source of Contaminant</w:t>
            </w:r>
          </w:p>
        </w:tc>
      </w:tr>
      <w:tr w:rsidR="002D096A" w14:paraId="5D0AD155"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nil"/>
              <w:left w:val="single" w:sz="6" w:space="0" w:color="auto"/>
              <w:bottom w:val="single" w:sz="4" w:space="0" w:color="auto"/>
              <w:right w:val="single" w:sz="4" w:space="0" w:color="auto"/>
            </w:tcBorders>
            <w:vAlign w:val="center"/>
            <w:hideMark/>
          </w:tcPr>
          <w:p w14:paraId="5B97C5AA" w14:textId="77777777" w:rsidR="002D096A" w:rsidRDefault="002D096A">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Chromium 6 (hexavalent)</w:t>
            </w:r>
          </w:p>
          <w:p w14:paraId="6886E678" w14:textId="77777777" w:rsidR="002D096A" w:rsidRDefault="002D096A">
            <w:pPr>
              <w:ind w:left="180"/>
              <w:rPr>
                <w:sz w:val="18"/>
              </w:rPr>
            </w:pPr>
            <w:r>
              <w:rPr>
                <w:rFonts w:ascii="TimesNewRomanPSMT" w:hAnsi="TimesNewRomanPSMT" w:cs="TimesNewRomanPSMT"/>
                <w:sz w:val="18"/>
                <w:szCs w:val="18"/>
              </w:rPr>
              <w:t>ppb</w:t>
            </w:r>
          </w:p>
        </w:tc>
        <w:tc>
          <w:tcPr>
            <w:tcW w:w="990" w:type="dxa"/>
            <w:tcBorders>
              <w:top w:val="nil"/>
              <w:left w:val="single" w:sz="4" w:space="0" w:color="auto"/>
              <w:bottom w:val="single" w:sz="4" w:space="0" w:color="auto"/>
              <w:right w:val="single" w:sz="4" w:space="0" w:color="auto"/>
            </w:tcBorders>
            <w:vAlign w:val="center"/>
            <w:hideMark/>
          </w:tcPr>
          <w:p w14:paraId="1A447006" w14:textId="77777777" w:rsidR="002D096A" w:rsidRDefault="002D096A">
            <w:pPr>
              <w:jc w:val="center"/>
              <w:rPr>
                <w:sz w:val="18"/>
              </w:rPr>
            </w:pPr>
            <w:r>
              <w:rPr>
                <w:sz w:val="18"/>
              </w:rPr>
              <w:t>8/17</w:t>
            </w:r>
          </w:p>
        </w:tc>
        <w:tc>
          <w:tcPr>
            <w:tcW w:w="1350" w:type="dxa"/>
            <w:tcBorders>
              <w:top w:val="nil"/>
              <w:left w:val="single" w:sz="4" w:space="0" w:color="auto"/>
              <w:bottom w:val="single" w:sz="4" w:space="0" w:color="auto"/>
              <w:right w:val="single" w:sz="4" w:space="0" w:color="auto"/>
            </w:tcBorders>
            <w:vAlign w:val="center"/>
            <w:hideMark/>
          </w:tcPr>
          <w:p w14:paraId="4E8A5545" w14:textId="77777777" w:rsidR="002D096A" w:rsidRDefault="002D096A">
            <w:pPr>
              <w:jc w:val="center"/>
              <w:rPr>
                <w:sz w:val="18"/>
              </w:rPr>
            </w:pPr>
            <w:r>
              <w:rPr>
                <w:sz w:val="18"/>
              </w:rPr>
              <w:t>4.9</w:t>
            </w:r>
          </w:p>
        </w:tc>
        <w:tc>
          <w:tcPr>
            <w:tcW w:w="1439" w:type="dxa"/>
            <w:tcBorders>
              <w:top w:val="nil"/>
              <w:left w:val="single" w:sz="4" w:space="0" w:color="auto"/>
              <w:bottom w:val="single" w:sz="4" w:space="0" w:color="auto"/>
              <w:right w:val="single" w:sz="4" w:space="0" w:color="auto"/>
            </w:tcBorders>
            <w:vAlign w:val="center"/>
            <w:hideMark/>
          </w:tcPr>
          <w:p w14:paraId="2BF60FA9" w14:textId="77777777" w:rsidR="002D096A" w:rsidRDefault="002D096A">
            <w:pPr>
              <w:jc w:val="center"/>
              <w:rPr>
                <w:sz w:val="18"/>
              </w:rPr>
            </w:pPr>
            <w:r>
              <w:rPr>
                <w:sz w:val="18"/>
              </w:rPr>
              <w:t>1.8</w:t>
            </w:r>
          </w:p>
        </w:tc>
        <w:tc>
          <w:tcPr>
            <w:tcW w:w="900" w:type="dxa"/>
            <w:tcBorders>
              <w:top w:val="nil"/>
              <w:left w:val="single" w:sz="4" w:space="0" w:color="auto"/>
              <w:bottom w:val="single" w:sz="4" w:space="0" w:color="auto"/>
              <w:right w:val="single" w:sz="4" w:space="0" w:color="auto"/>
            </w:tcBorders>
            <w:vAlign w:val="center"/>
            <w:hideMark/>
          </w:tcPr>
          <w:p w14:paraId="19C386D6" w14:textId="77777777" w:rsidR="002D096A" w:rsidRDefault="002D096A">
            <w:pPr>
              <w:jc w:val="center"/>
              <w:rPr>
                <w:sz w:val="18"/>
              </w:rPr>
            </w:pPr>
            <w:r>
              <w:rPr>
                <w:sz w:val="18"/>
              </w:rPr>
              <w:t>50</w:t>
            </w:r>
          </w:p>
        </w:tc>
        <w:tc>
          <w:tcPr>
            <w:tcW w:w="1080" w:type="dxa"/>
            <w:tcBorders>
              <w:top w:val="nil"/>
              <w:left w:val="single" w:sz="4" w:space="0" w:color="auto"/>
              <w:bottom w:val="single" w:sz="4" w:space="0" w:color="auto"/>
              <w:right w:val="single" w:sz="4" w:space="0" w:color="auto"/>
            </w:tcBorders>
            <w:vAlign w:val="center"/>
            <w:hideMark/>
          </w:tcPr>
          <w:p w14:paraId="7D187B4F" w14:textId="77777777" w:rsidR="002D096A" w:rsidRDefault="002D096A">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      N/A,</w:t>
            </w:r>
          </w:p>
          <w:p w14:paraId="2F3F6F0D" w14:textId="77777777" w:rsidR="002D096A" w:rsidRDefault="002D096A">
            <w:pPr>
              <w:jc w:val="center"/>
              <w:rPr>
                <w:sz w:val="18"/>
              </w:rPr>
            </w:pPr>
            <w:r>
              <w:rPr>
                <w:rFonts w:ascii="TimesNewRomanPSMT" w:hAnsi="TimesNewRomanPSMT" w:cs="TimesNewRomanPSMT"/>
                <w:sz w:val="18"/>
                <w:szCs w:val="18"/>
              </w:rPr>
              <w:t>(N/A)</w:t>
            </w:r>
          </w:p>
        </w:tc>
        <w:tc>
          <w:tcPr>
            <w:tcW w:w="2805" w:type="dxa"/>
            <w:tcBorders>
              <w:top w:val="nil"/>
              <w:left w:val="single" w:sz="4" w:space="0" w:color="auto"/>
              <w:bottom w:val="single" w:sz="4" w:space="0" w:color="auto"/>
              <w:right w:val="single" w:sz="6" w:space="0" w:color="auto"/>
            </w:tcBorders>
            <w:vAlign w:val="center"/>
            <w:hideMark/>
          </w:tcPr>
          <w:p w14:paraId="2F94082F" w14:textId="77777777" w:rsidR="002D096A" w:rsidRDefault="002D096A">
            <w:pPr>
              <w:rPr>
                <w:sz w:val="18"/>
              </w:rPr>
            </w:pPr>
            <w:r>
              <w:rPr>
                <w:rFonts w:ascii="TimesNewRomanPSMT" w:hAnsi="TimesNewRomanPSMT" w:cs="TimesNewRomanPSMT"/>
                <w:sz w:val="18"/>
                <w:szCs w:val="18"/>
              </w:rPr>
              <w:t>Erosion of natural deposits.</w:t>
            </w:r>
          </w:p>
        </w:tc>
      </w:tr>
      <w:tr w:rsidR="002D096A" w14:paraId="7D9BFC82" w14:textId="77777777" w:rsidTr="00BC48D8">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030D970E" w14:textId="77777777" w:rsidR="002D096A" w:rsidRDefault="002D096A">
            <w:pPr>
              <w:ind w:left="180"/>
              <w:rPr>
                <w:sz w:val="18"/>
              </w:rPr>
            </w:pPr>
            <w:r>
              <w:rPr>
                <w:rFonts w:ascii="ComicSansMS" w:hAnsi="ComicSansMS" w:cs="ComicSansMS"/>
                <w:sz w:val="18"/>
                <w:szCs w:val="18"/>
              </w:rPr>
              <w:t>Nitrate (ppm)</w:t>
            </w:r>
          </w:p>
        </w:tc>
        <w:tc>
          <w:tcPr>
            <w:tcW w:w="990" w:type="dxa"/>
            <w:tcBorders>
              <w:top w:val="single" w:sz="4" w:space="0" w:color="auto"/>
              <w:left w:val="single" w:sz="4" w:space="0" w:color="auto"/>
              <w:bottom w:val="single" w:sz="4" w:space="0" w:color="auto"/>
              <w:right w:val="single" w:sz="4" w:space="0" w:color="auto"/>
            </w:tcBorders>
            <w:vAlign w:val="center"/>
            <w:hideMark/>
          </w:tcPr>
          <w:p w14:paraId="3B689A26" w14:textId="3F7BD0BA" w:rsidR="002D096A" w:rsidRDefault="00802363">
            <w:pPr>
              <w:autoSpaceDE w:val="0"/>
              <w:autoSpaceDN w:val="0"/>
              <w:adjustRightInd w:val="0"/>
              <w:rPr>
                <w:rFonts w:ascii="ComicSansMS" w:hAnsi="ComicSansMS" w:cs="ComicSansMS"/>
                <w:sz w:val="18"/>
                <w:szCs w:val="18"/>
              </w:rPr>
            </w:pPr>
            <w:r>
              <w:rPr>
                <w:rFonts w:ascii="ComicSansMS" w:hAnsi="ComicSansMS" w:cs="ComicSansMS"/>
                <w:sz w:val="18"/>
                <w:szCs w:val="18"/>
              </w:rPr>
              <w:t xml:space="preserve">     5/19</w:t>
            </w:r>
          </w:p>
          <w:p w14:paraId="36EE8823" w14:textId="77777777" w:rsidR="002D096A" w:rsidRDefault="002D096A">
            <w:pPr>
              <w:jc w:val="center"/>
              <w:rPr>
                <w:sz w:val="18"/>
              </w:rPr>
            </w:pPr>
            <w:r>
              <w:rPr>
                <w:rFonts w:ascii="ComicSansMS" w:hAnsi="ComicSansMS" w:cs="ComicSansMS"/>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7E97982" w14:textId="72CB4DD8" w:rsidR="002D096A" w:rsidRDefault="00802363">
            <w:pPr>
              <w:autoSpaceDE w:val="0"/>
              <w:autoSpaceDN w:val="0"/>
              <w:adjustRightInd w:val="0"/>
              <w:jc w:val="center"/>
              <w:rPr>
                <w:rFonts w:ascii="ComicSansMS" w:hAnsi="ComicSansMS" w:cs="ComicSansMS"/>
                <w:sz w:val="18"/>
                <w:szCs w:val="18"/>
              </w:rPr>
            </w:pPr>
            <w:r>
              <w:rPr>
                <w:rFonts w:ascii="ComicSansMS" w:hAnsi="ComicSansMS" w:cs="ComicSansMS"/>
                <w:sz w:val="18"/>
                <w:szCs w:val="18"/>
              </w:rPr>
              <w:t>1.2</w:t>
            </w:r>
          </w:p>
          <w:p w14:paraId="52E7656A" w14:textId="77777777" w:rsidR="002D096A" w:rsidRDefault="002D096A">
            <w:pPr>
              <w:jc w:val="center"/>
              <w:rPr>
                <w:sz w:val="18"/>
              </w:rPr>
            </w:pPr>
            <w:r>
              <w:rPr>
                <w:rFonts w:ascii="ComicSansMS" w:hAnsi="ComicSansMS" w:cs="ComicSansMS"/>
                <w:sz w:val="18"/>
                <w:szCs w:val="18"/>
              </w:rPr>
              <w:t xml:space="preserve">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22A70A6" w14:textId="77777777" w:rsidR="002D096A" w:rsidRDefault="002D096A">
            <w:pPr>
              <w:jc w:val="center"/>
              <w:rPr>
                <w:sz w:val="18"/>
              </w:rPr>
            </w:pPr>
            <w:r>
              <w:rPr>
                <w:rFonts w:ascii="ComicSansMS" w:hAnsi="ComicSansMS" w:cs="ComicSansMS"/>
                <w:sz w:val="18"/>
                <w:szCs w:val="18"/>
              </w:rPr>
              <w:t>3-8</w:t>
            </w:r>
          </w:p>
        </w:tc>
        <w:tc>
          <w:tcPr>
            <w:tcW w:w="900" w:type="dxa"/>
            <w:tcBorders>
              <w:top w:val="single" w:sz="4" w:space="0" w:color="auto"/>
              <w:left w:val="single" w:sz="4" w:space="0" w:color="auto"/>
              <w:bottom w:val="single" w:sz="4" w:space="0" w:color="auto"/>
              <w:right w:val="single" w:sz="4" w:space="0" w:color="auto"/>
            </w:tcBorders>
            <w:vAlign w:val="center"/>
          </w:tcPr>
          <w:p w14:paraId="01303B51" w14:textId="53FF1CED" w:rsidR="002D096A" w:rsidRDefault="00BC48D8">
            <w:pPr>
              <w:jc w:val="center"/>
              <w:rPr>
                <w:sz w:val="18"/>
              </w:rPr>
            </w:pPr>
            <w:r>
              <w:rPr>
                <w:sz w:val="18"/>
              </w:rPr>
              <w:t>10</w:t>
            </w:r>
          </w:p>
        </w:tc>
        <w:tc>
          <w:tcPr>
            <w:tcW w:w="1080" w:type="dxa"/>
            <w:tcBorders>
              <w:top w:val="single" w:sz="4" w:space="0" w:color="auto"/>
              <w:left w:val="single" w:sz="4" w:space="0" w:color="auto"/>
              <w:bottom w:val="single" w:sz="4" w:space="0" w:color="auto"/>
              <w:right w:val="single" w:sz="4" w:space="0" w:color="auto"/>
            </w:tcBorders>
            <w:vAlign w:val="center"/>
          </w:tcPr>
          <w:p w14:paraId="32604FF1" w14:textId="57EE54D8" w:rsidR="002D096A" w:rsidRDefault="00BC48D8">
            <w:pPr>
              <w:jc w:val="center"/>
              <w:rPr>
                <w:sz w:val="18"/>
              </w:rPr>
            </w:pPr>
            <w:r>
              <w:rPr>
                <w:sz w:val="18"/>
              </w:rPr>
              <w:t>10</w:t>
            </w:r>
          </w:p>
        </w:tc>
        <w:tc>
          <w:tcPr>
            <w:tcW w:w="2805" w:type="dxa"/>
            <w:tcBorders>
              <w:top w:val="single" w:sz="4" w:space="0" w:color="auto"/>
              <w:left w:val="single" w:sz="4" w:space="0" w:color="auto"/>
              <w:bottom w:val="single" w:sz="4" w:space="0" w:color="auto"/>
              <w:right w:val="single" w:sz="4" w:space="0" w:color="auto"/>
            </w:tcBorders>
            <w:vAlign w:val="center"/>
            <w:hideMark/>
          </w:tcPr>
          <w:p w14:paraId="33E7AF43"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Runoff and leaching from</w:t>
            </w:r>
          </w:p>
          <w:p w14:paraId="5A3B7318"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fertilizer use; Leaching from</w:t>
            </w:r>
          </w:p>
          <w:p w14:paraId="35BB486F"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septic tanks, sewage; Erosion of</w:t>
            </w:r>
          </w:p>
          <w:p w14:paraId="6CD68AE9" w14:textId="77777777" w:rsidR="002D096A" w:rsidRDefault="002D096A">
            <w:pPr>
              <w:rPr>
                <w:sz w:val="18"/>
              </w:rPr>
            </w:pPr>
            <w:r>
              <w:rPr>
                <w:rFonts w:ascii="ComicSansMS" w:hAnsi="ComicSansMS" w:cs="ComicSansMS"/>
                <w:sz w:val="18"/>
                <w:szCs w:val="18"/>
              </w:rPr>
              <w:t>natural deposits.</w:t>
            </w:r>
          </w:p>
        </w:tc>
      </w:tr>
      <w:tr w:rsidR="00802363" w14:paraId="2F27C5E7" w14:textId="77777777" w:rsidTr="00802363">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2082484A" w14:textId="77777777" w:rsidR="00802363" w:rsidRPr="00802363" w:rsidRDefault="00802363" w:rsidP="00802363">
            <w:pPr>
              <w:ind w:left="180"/>
              <w:rPr>
                <w:rFonts w:ascii="ComicSansMS" w:hAnsi="ComicSansMS" w:cs="ComicSansMS"/>
                <w:sz w:val="18"/>
                <w:szCs w:val="18"/>
              </w:rPr>
            </w:pPr>
            <w:r w:rsidRPr="00802363">
              <w:rPr>
                <w:rFonts w:ascii="ComicSansMS" w:hAnsi="ComicSansMS" w:cs="ComicSansMS"/>
                <w:sz w:val="18"/>
                <w:szCs w:val="18"/>
              </w:rPr>
              <w:t>Gross Alpha Activity</w:t>
            </w:r>
          </w:p>
          <w:p w14:paraId="411BF62E" w14:textId="77777777" w:rsidR="00802363" w:rsidRPr="00802363" w:rsidRDefault="00802363" w:rsidP="00802363">
            <w:pPr>
              <w:ind w:left="180"/>
              <w:rPr>
                <w:rFonts w:ascii="ComicSansMS" w:hAnsi="ComicSansMS" w:cs="ComicSansMS"/>
                <w:sz w:val="18"/>
                <w:szCs w:val="18"/>
              </w:rPr>
            </w:pPr>
            <w:r w:rsidRPr="00802363">
              <w:rPr>
                <w:rFonts w:ascii="ComicSansMS" w:hAnsi="ComicSansMS" w:cs="ComicSansMS"/>
                <w:sz w:val="18"/>
                <w:szCs w:val="18"/>
              </w:rPr>
              <w:t>Radium 226/228 pCi/L</w:t>
            </w:r>
          </w:p>
        </w:tc>
        <w:tc>
          <w:tcPr>
            <w:tcW w:w="990" w:type="dxa"/>
            <w:tcBorders>
              <w:top w:val="single" w:sz="4" w:space="0" w:color="auto"/>
              <w:left w:val="single" w:sz="4" w:space="0" w:color="auto"/>
              <w:bottom w:val="single" w:sz="4" w:space="0" w:color="auto"/>
              <w:right w:val="single" w:sz="4" w:space="0" w:color="auto"/>
            </w:tcBorders>
            <w:vAlign w:val="center"/>
            <w:hideMark/>
          </w:tcPr>
          <w:p w14:paraId="68C01E7F" w14:textId="5300EF4F" w:rsidR="00802363" w:rsidRPr="00802363" w:rsidRDefault="00802363" w:rsidP="00802363">
            <w:pPr>
              <w:autoSpaceDE w:val="0"/>
              <w:autoSpaceDN w:val="0"/>
              <w:adjustRightInd w:val="0"/>
              <w:rPr>
                <w:rFonts w:ascii="ComicSansMS" w:hAnsi="ComicSansMS" w:cs="ComicSansMS"/>
                <w:sz w:val="18"/>
                <w:szCs w:val="18"/>
              </w:rPr>
            </w:pPr>
            <w:r>
              <w:rPr>
                <w:rFonts w:ascii="ComicSansMS" w:hAnsi="ComicSansMS" w:cs="ComicSansMS"/>
                <w:sz w:val="18"/>
                <w:szCs w:val="18"/>
              </w:rPr>
              <w:t xml:space="preserve">     </w:t>
            </w:r>
            <w:r w:rsidR="001A11E9">
              <w:rPr>
                <w:rFonts w:ascii="ComicSansMS" w:hAnsi="ComicSansMS" w:cs="ComicSansMS"/>
                <w:sz w:val="18"/>
                <w:szCs w:val="18"/>
              </w:rPr>
              <w:t>10/01/19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D5EDB89" w14:textId="4A9334DD" w:rsidR="00802363" w:rsidRPr="00802363" w:rsidRDefault="001A11E9" w:rsidP="00802363">
            <w:pPr>
              <w:autoSpaceDE w:val="0"/>
              <w:autoSpaceDN w:val="0"/>
              <w:adjustRightInd w:val="0"/>
              <w:jc w:val="center"/>
              <w:rPr>
                <w:rFonts w:ascii="ComicSansMS" w:hAnsi="ComicSansMS" w:cs="ComicSansMS"/>
                <w:sz w:val="18"/>
                <w:szCs w:val="18"/>
              </w:rPr>
            </w:pPr>
            <w:r>
              <w:rPr>
                <w:rFonts w:ascii="ComicSansMS" w:hAnsi="ComicSansMS" w:cs="ComicSansMS"/>
                <w:sz w:val="18"/>
                <w:szCs w:val="18"/>
              </w:rPr>
              <w:t>0.237</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B18D1BD" w14:textId="77777777" w:rsidR="00802363" w:rsidRPr="00802363" w:rsidRDefault="00802363">
            <w:pPr>
              <w:jc w:val="center"/>
              <w:rPr>
                <w:rFonts w:ascii="ComicSansMS" w:hAnsi="ComicSansMS" w:cs="ComicSansMS"/>
                <w:sz w:val="18"/>
                <w:szCs w:val="18"/>
              </w:rPr>
            </w:pPr>
            <w:r w:rsidRPr="00802363">
              <w:rPr>
                <w:rFonts w:ascii="ComicSansMS" w:hAnsi="ComicSansMS" w:cs="ComicSansMS"/>
                <w:sz w:val="18"/>
                <w:szCs w:val="18"/>
              </w:rPr>
              <w:t>2.0 – 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3317A0" w14:textId="77777777" w:rsidR="00802363" w:rsidRPr="00802363" w:rsidRDefault="00802363">
            <w:pPr>
              <w:jc w:val="center"/>
              <w:rPr>
                <w:rFonts w:ascii="ComicSansMS" w:hAnsi="ComicSansMS" w:cs="ComicSansMS"/>
                <w:sz w:val="18"/>
                <w:szCs w:val="18"/>
              </w:rPr>
            </w:pPr>
            <w:r w:rsidRPr="00802363">
              <w:rPr>
                <w:rFonts w:ascii="ComicSansMS" w:hAnsi="ComicSansMS" w:cs="ComicSansMS"/>
                <w:sz w:val="18"/>
                <w:szCs w:val="18"/>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1E3868" w14:textId="77777777" w:rsidR="00802363" w:rsidRPr="00802363" w:rsidRDefault="00802363">
            <w:pPr>
              <w:jc w:val="center"/>
              <w:rPr>
                <w:rFonts w:ascii="ComicSansMS" w:hAnsi="ComicSansMS" w:cs="ComicSansMS"/>
                <w:sz w:val="18"/>
                <w:szCs w:val="18"/>
              </w:rPr>
            </w:pPr>
            <w:r w:rsidRPr="00802363">
              <w:rPr>
                <w:rFonts w:ascii="ComicSansMS" w:hAnsi="ComicSansMS" w:cs="ComicSansMS"/>
                <w:sz w:val="18"/>
                <w:szCs w:val="18"/>
              </w:rPr>
              <w:t>0.019pCi/L</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B66BB2E" w14:textId="77777777" w:rsidR="00802363" w:rsidRPr="00802363" w:rsidRDefault="00802363" w:rsidP="00802363">
            <w:pPr>
              <w:autoSpaceDE w:val="0"/>
              <w:autoSpaceDN w:val="0"/>
              <w:adjustRightInd w:val="0"/>
              <w:rPr>
                <w:rFonts w:ascii="ComicSansMS" w:hAnsi="ComicSansMS" w:cs="ComicSansMS"/>
                <w:sz w:val="18"/>
                <w:szCs w:val="18"/>
              </w:rPr>
            </w:pPr>
            <w:r w:rsidRPr="00802363">
              <w:rPr>
                <w:rFonts w:ascii="ComicSansMS" w:hAnsi="ComicSansMS" w:cs="ComicSansMS"/>
                <w:sz w:val="18"/>
                <w:szCs w:val="18"/>
              </w:rPr>
              <w:t>Erosion of natural deposits</w:t>
            </w:r>
          </w:p>
        </w:tc>
      </w:tr>
      <w:tr w:rsidR="002D096A" w14:paraId="5D828DEB"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64330EC5" w14:textId="77777777" w:rsidR="002D096A" w:rsidRDefault="002D096A">
            <w:pPr>
              <w:ind w:left="180"/>
              <w:rPr>
                <w:sz w:val="18"/>
              </w:rPr>
            </w:pPr>
            <w:r>
              <w:rPr>
                <w:rFonts w:ascii="ComicSansMS" w:hAnsi="ComicSansMS" w:cs="ComicSansMS"/>
                <w:sz w:val="18"/>
                <w:szCs w:val="18"/>
              </w:rPr>
              <w:t>Gross Alpha (pCi/L)</w:t>
            </w:r>
          </w:p>
        </w:tc>
        <w:tc>
          <w:tcPr>
            <w:tcW w:w="990" w:type="dxa"/>
            <w:tcBorders>
              <w:top w:val="single" w:sz="4" w:space="0" w:color="auto"/>
              <w:left w:val="single" w:sz="4" w:space="0" w:color="auto"/>
              <w:bottom w:val="single" w:sz="4" w:space="0" w:color="auto"/>
              <w:right w:val="single" w:sz="4" w:space="0" w:color="auto"/>
            </w:tcBorders>
            <w:vAlign w:val="center"/>
            <w:hideMark/>
          </w:tcPr>
          <w:p w14:paraId="15CA8C09" w14:textId="77777777" w:rsidR="002D096A" w:rsidRDefault="002D096A">
            <w:pPr>
              <w:jc w:val="center"/>
              <w:rPr>
                <w:sz w:val="18"/>
              </w:rPr>
            </w:pPr>
            <w:r>
              <w:rPr>
                <w:rFonts w:ascii="ComicSansMS" w:hAnsi="ComicSansMS" w:cs="ComicSansMS"/>
                <w:sz w:val="18"/>
                <w:szCs w:val="18"/>
              </w:rPr>
              <w:t>7/23/09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6B0166" w14:textId="77777777" w:rsidR="002D096A" w:rsidRDefault="002D096A">
            <w:pPr>
              <w:jc w:val="center"/>
              <w:rPr>
                <w:sz w:val="18"/>
              </w:rPr>
            </w:pPr>
            <w:r>
              <w:rPr>
                <w:rFonts w:ascii="ComicSansMS" w:hAnsi="ComicSansMS" w:cs="ComicSansMS"/>
                <w:sz w:val="18"/>
                <w:szCs w:val="18"/>
              </w:rPr>
              <w:t>3.63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2216E83" w14:textId="77777777" w:rsidR="002D096A" w:rsidRDefault="002D096A">
            <w:pPr>
              <w:jc w:val="center"/>
              <w:rPr>
                <w:sz w:val="18"/>
              </w:rPr>
            </w:pPr>
            <w:r>
              <w:rPr>
                <w:rFonts w:ascii="ComicSansMS" w:hAnsi="ComicSansMS" w:cs="ComicSansMS"/>
                <w:sz w:val="18"/>
                <w:szCs w:val="18"/>
              </w:rPr>
              <w:t>3.63</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9963DD" w14:textId="77777777" w:rsidR="002D096A" w:rsidRDefault="002D096A">
            <w:pPr>
              <w:jc w:val="center"/>
              <w:rPr>
                <w:sz w:val="18"/>
              </w:rPr>
            </w:pPr>
            <w:r>
              <w:rPr>
                <w:rFonts w:ascii="ComicSansMS" w:hAnsi="ComicSansMS" w:cs="ComicSansMS"/>
                <w:sz w:val="18"/>
                <w:szCs w:val="18"/>
              </w:rPr>
              <w:t>15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99120A" w14:textId="77777777" w:rsidR="002D096A" w:rsidRDefault="002D096A">
            <w:pPr>
              <w:jc w:val="center"/>
              <w:rPr>
                <w:sz w:val="18"/>
              </w:rPr>
            </w:pPr>
            <w:r>
              <w:rPr>
                <w:rFonts w:ascii="ComicSansMS" w:hAnsi="ComicSansMS" w:cs="ComicSansMS"/>
                <w:sz w:val="18"/>
                <w:szCs w:val="18"/>
              </w:rPr>
              <w:t>N/A, (0)</w:t>
            </w:r>
          </w:p>
        </w:tc>
        <w:tc>
          <w:tcPr>
            <w:tcW w:w="2805" w:type="dxa"/>
            <w:tcBorders>
              <w:top w:val="single" w:sz="4" w:space="0" w:color="auto"/>
              <w:left w:val="single" w:sz="4" w:space="0" w:color="auto"/>
              <w:bottom w:val="single" w:sz="4" w:space="0" w:color="auto"/>
              <w:right w:val="single" w:sz="4" w:space="0" w:color="auto"/>
            </w:tcBorders>
            <w:vAlign w:val="center"/>
            <w:hideMark/>
          </w:tcPr>
          <w:p w14:paraId="5555F41B" w14:textId="77777777" w:rsidR="002D096A" w:rsidRDefault="002D096A">
            <w:pPr>
              <w:rPr>
                <w:sz w:val="18"/>
              </w:rPr>
            </w:pPr>
            <w:r>
              <w:rPr>
                <w:rFonts w:ascii="ComicSansMS" w:hAnsi="ComicSansMS" w:cs="ComicSansMS"/>
                <w:sz w:val="18"/>
                <w:szCs w:val="18"/>
              </w:rPr>
              <w:t>Erosion of natural deposits.</w:t>
            </w:r>
          </w:p>
        </w:tc>
      </w:tr>
      <w:tr w:rsidR="002D096A" w14:paraId="54FA3CDC"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748B4F9A" w14:textId="77777777" w:rsidR="002D096A" w:rsidRDefault="002D096A">
            <w:pPr>
              <w:ind w:left="180"/>
              <w:rPr>
                <w:sz w:val="18"/>
              </w:rPr>
            </w:pPr>
            <w:r>
              <w:rPr>
                <w:rFonts w:ascii="TimesNewRomanPSMT" w:hAnsi="TimesNewRomanPSMT" w:cs="TimesNewRomanPSMT"/>
              </w:rPr>
              <w:t>Fluoride (ppm)</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79C1FB" w14:textId="77777777" w:rsidR="002D096A" w:rsidRDefault="002D096A">
            <w:pPr>
              <w:jc w:val="center"/>
              <w:rPr>
                <w:sz w:val="18"/>
              </w:rPr>
            </w:pPr>
            <w:r>
              <w:rPr>
                <w:rFonts w:ascii="ComicSansMS" w:hAnsi="ComicSansMS" w:cs="ComicSansMS"/>
                <w:sz w:val="18"/>
                <w:szCs w:val="18"/>
              </w:rPr>
              <w:t>5/17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D13778D" w14:textId="77777777" w:rsidR="002D096A" w:rsidRDefault="002D096A">
            <w:pPr>
              <w:jc w:val="center"/>
              <w:rPr>
                <w:sz w:val="18"/>
              </w:rPr>
            </w:pPr>
            <w:r>
              <w:rPr>
                <w:rFonts w:ascii="ComicSansMS" w:hAnsi="ComicSansMS" w:cs="ComicSansMS"/>
                <w:sz w:val="18"/>
                <w:szCs w:val="18"/>
              </w:rPr>
              <w:t>0.24</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EDE2D00" w14:textId="77777777" w:rsidR="002D096A" w:rsidRDefault="002D096A">
            <w:pPr>
              <w:jc w:val="center"/>
              <w:rPr>
                <w:sz w:val="18"/>
              </w:rPr>
            </w:pPr>
            <w:r>
              <w:rPr>
                <w:rFonts w:ascii="ComicSansMS" w:hAnsi="ComicSansMS" w:cs="ComicSansMS"/>
                <w:sz w:val="18"/>
                <w:szCs w:val="18"/>
              </w:rPr>
              <w:t>0.19</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710521" w14:textId="77777777" w:rsidR="002D096A" w:rsidRDefault="002D096A">
            <w:pPr>
              <w:jc w:val="center"/>
              <w:rPr>
                <w:sz w:val="18"/>
              </w:rPr>
            </w:pPr>
            <w:r>
              <w:rPr>
                <w:rFonts w:ascii="ComicSansMS" w:hAnsi="ComicSansMS" w:cs="ComicSansMS"/>
                <w:sz w:val="18"/>
                <w:szCs w:val="18"/>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DEC2AB" w14:textId="77777777" w:rsidR="002D096A" w:rsidRDefault="002D096A">
            <w:pPr>
              <w:jc w:val="center"/>
              <w:rPr>
                <w:sz w:val="18"/>
              </w:rPr>
            </w:pPr>
            <w:r>
              <w:rPr>
                <w:rFonts w:ascii="ComicSansMS" w:hAnsi="ComicSansMS" w:cs="ComicSansMS"/>
                <w:sz w:val="18"/>
                <w:szCs w:val="18"/>
              </w:rPr>
              <w:t>1</w:t>
            </w:r>
          </w:p>
        </w:tc>
        <w:tc>
          <w:tcPr>
            <w:tcW w:w="2805" w:type="dxa"/>
            <w:tcBorders>
              <w:top w:val="single" w:sz="4" w:space="0" w:color="auto"/>
              <w:left w:val="single" w:sz="4" w:space="0" w:color="auto"/>
              <w:bottom w:val="single" w:sz="4" w:space="0" w:color="auto"/>
              <w:right w:val="single" w:sz="4" w:space="0" w:color="auto"/>
            </w:tcBorders>
            <w:vAlign w:val="center"/>
            <w:hideMark/>
          </w:tcPr>
          <w:p w14:paraId="7ADEE160" w14:textId="77777777" w:rsidR="002D096A" w:rsidRDefault="002D096A">
            <w:pPr>
              <w:autoSpaceDE w:val="0"/>
              <w:autoSpaceDN w:val="0"/>
              <w:adjustRightInd w:val="0"/>
              <w:rPr>
                <w:rFonts w:ascii="TimesNewRomanPSMT" w:hAnsi="TimesNewRomanPSMT" w:cs="TimesNewRomanPSMT"/>
              </w:rPr>
            </w:pPr>
            <w:r>
              <w:rPr>
                <w:rFonts w:ascii="TimesNewRomanPSMT" w:hAnsi="TimesNewRomanPSMT" w:cs="TimesNewRomanPSMT"/>
              </w:rPr>
              <w:t>Erosion of natural deposits; water additive which promotes</w:t>
            </w:r>
          </w:p>
          <w:p w14:paraId="5379161C"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strong teeth; discharge from</w:t>
            </w:r>
          </w:p>
          <w:p w14:paraId="67522249" w14:textId="77777777" w:rsidR="002D096A" w:rsidRDefault="002D096A">
            <w:pPr>
              <w:rPr>
                <w:sz w:val="18"/>
              </w:rPr>
            </w:pPr>
            <w:r>
              <w:rPr>
                <w:rFonts w:ascii="ComicSansMS" w:hAnsi="ComicSansMS" w:cs="ComicSansMS"/>
                <w:sz w:val="18"/>
                <w:szCs w:val="18"/>
              </w:rPr>
              <w:t>fertilizer and aluminum factories.</w:t>
            </w:r>
          </w:p>
        </w:tc>
      </w:tr>
      <w:tr w:rsidR="002D096A" w:rsidRPr="001F3468" w14:paraId="3C75DEB6" w14:textId="77777777" w:rsidTr="002D096A">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472A4A6C" w14:textId="77777777" w:rsidR="002D096A" w:rsidRPr="00F41F91" w:rsidRDefault="002D096A" w:rsidP="002D096A">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D096A" w:rsidRPr="001F3468" w14:paraId="454686BB" w14:textId="77777777" w:rsidTr="002D096A">
        <w:trPr>
          <w:jc w:val="center"/>
        </w:trPr>
        <w:tc>
          <w:tcPr>
            <w:tcW w:w="2266" w:type="dxa"/>
            <w:gridSpan w:val="2"/>
            <w:tcBorders>
              <w:top w:val="single" w:sz="18" w:space="0" w:color="auto"/>
              <w:left w:val="single" w:sz="6" w:space="0" w:color="auto"/>
              <w:bottom w:val="double" w:sz="6" w:space="0" w:color="auto"/>
            </w:tcBorders>
            <w:vAlign w:val="center"/>
          </w:tcPr>
          <w:p w14:paraId="10EDBEEB" w14:textId="77777777" w:rsidR="002D096A" w:rsidRPr="00F41F91" w:rsidRDefault="002D096A" w:rsidP="002D096A">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2D096A" w:rsidRPr="00F41F91" w:rsidRDefault="002D096A" w:rsidP="002D096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2D096A" w:rsidRPr="00F41F91" w:rsidRDefault="002D096A" w:rsidP="002D096A">
            <w:pPr>
              <w:spacing w:before="40" w:after="40"/>
              <w:jc w:val="center"/>
              <w:rPr>
                <w:b/>
                <w:sz w:val="18"/>
              </w:rPr>
            </w:pPr>
            <w:r w:rsidRPr="00F41F91">
              <w:rPr>
                <w:b/>
                <w:sz w:val="18"/>
              </w:rPr>
              <w:t>Level Detected</w:t>
            </w:r>
          </w:p>
        </w:tc>
        <w:tc>
          <w:tcPr>
            <w:tcW w:w="1439" w:type="dxa"/>
            <w:tcBorders>
              <w:top w:val="single" w:sz="18" w:space="0" w:color="auto"/>
              <w:bottom w:val="double" w:sz="6" w:space="0" w:color="auto"/>
            </w:tcBorders>
            <w:vAlign w:val="center"/>
          </w:tcPr>
          <w:p w14:paraId="5C630E53" w14:textId="77777777" w:rsidR="002D096A" w:rsidRPr="00F41F91" w:rsidRDefault="002D096A" w:rsidP="002D096A">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2D096A" w:rsidRPr="00F41F91" w:rsidRDefault="002D096A" w:rsidP="002D096A">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2D096A" w:rsidRPr="00F41F91" w:rsidRDefault="002D096A" w:rsidP="002D096A">
            <w:pPr>
              <w:spacing w:before="40" w:after="40"/>
              <w:jc w:val="center"/>
              <w:rPr>
                <w:b/>
                <w:sz w:val="18"/>
              </w:rPr>
            </w:pPr>
            <w:r w:rsidRPr="00F41F91">
              <w:rPr>
                <w:b/>
                <w:sz w:val="18"/>
              </w:rPr>
              <w:t>PHG</w:t>
            </w:r>
            <w:r w:rsidRPr="00F41F91">
              <w:rPr>
                <w:b/>
                <w:sz w:val="18"/>
              </w:rPr>
              <w:br/>
              <w:t>(MCLG)</w:t>
            </w:r>
          </w:p>
        </w:tc>
        <w:tc>
          <w:tcPr>
            <w:tcW w:w="2811" w:type="dxa"/>
            <w:gridSpan w:val="2"/>
            <w:tcBorders>
              <w:top w:val="single" w:sz="18" w:space="0" w:color="auto"/>
              <w:bottom w:val="double" w:sz="6" w:space="0" w:color="auto"/>
              <w:right w:val="single" w:sz="6" w:space="0" w:color="auto"/>
            </w:tcBorders>
            <w:vAlign w:val="center"/>
          </w:tcPr>
          <w:p w14:paraId="668CDEA6" w14:textId="77777777" w:rsidR="002D096A" w:rsidRPr="00F41F91" w:rsidRDefault="002D096A" w:rsidP="002D096A">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D096A" w14:paraId="48C09C5E"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6" w:space="0" w:color="auto"/>
              <w:bottom w:val="single" w:sz="4" w:space="0" w:color="auto"/>
              <w:right w:val="single" w:sz="4" w:space="0" w:color="auto"/>
            </w:tcBorders>
            <w:vAlign w:val="center"/>
            <w:hideMark/>
          </w:tcPr>
          <w:p w14:paraId="0D006C13" w14:textId="77777777" w:rsidR="002D096A" w:rsidRDefault="002D096A">
            <w:pPr>
              <w:ind w:left="187"/>
              <w:rPr>
                <w:sz w:val="18"/>
              </w:rPr>
            </w:pPr>
            <w:r>
              <w:rPr>
                <w:rFonts w:ascii="ComicSansMS" w:hAnsi="ComicSansMS" w:cs="ComicSansMS"/>
                <w:sz w:val="18"/>
                <w:szCs w:val="18"/>
              </w:rPr>
              <w:t>Chloride (ppm)</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3ED9E9" w14:textId="77777777" w:rsidR="002D096A" w:rsidRDefault="002D096A">
            <w:pPr>
              <w:jc w:val="center"/>
              <w:rPr>
                <w:sz w:val="18"/>
              </w:rPr>
            </w:pPr>
            <w:r>
              <w:rPr>
                <w:sz w:val="18"/>
              </w:rPr>
              <w:t>5/17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A3AA4A6" w14:textId="77777777" w:rsidR="002D096A" w:rsidRDefault="002D096A">
            <w:pPr>
              <w:jc w:val="center"/>
              <w:rPr>
                <w:sz w:val="18"/>
              </w:rPr>
            </w:pPr>
            <w:r>
              <w:rPr>
                <w:sz w:val="18"/>
              </w:rPr>
              <w:t>65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CB4874" w14:textId="77777777" w:rsidR="002D096A" w:rsidRDefault="002D096A">
            <w:pPr>
              <w:jc w:val="center"/>
              <w:rPr>
                <w:sz w:val="18"/>
              </w:rPr>
            </w:pPr>
            <w:r>
              <w:rPr>
                <w:sz w:val="18"/>
              </w:rPr>
              <w:t>65</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A73CF2" w14:textId="77777777" w:rsidR="002D096A" w:rsidRDefault="002D096A">
            <w:pPr>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D9C93D" w14:textId="77777777" w:rsidR="002D096A" w:rsidRDefault="002D096A">
            <w:pPr>
              <w:jc w:val="center"/>
              <w:rPr>
                <w:sz w:val="18"/>
              </w:rPr>
            </w:pPr>
            <w:r>
              <w:rPr>
                <w:rFonts w:ascii="ComicSansMS" w:hAnsi="ComicSansMS" w:cs="ComicSansMS"/>
                <w:sz w:val="18"/>
                <w:szCs w:val="18"/>
              </w:rPr>
              <w:t>N/A, (N/A)</w:t>
            </w:r>
          </w:p>
        </w:tc>
        <w:tc>
          <w:tcPr>
            <w:tcW w:w="2805" w:type="dxa"/>
            <w:tcBorders>
              <w:top w:val="single" w:sz="4" w:space="0" w:color="auto"/>
              <w:left w:val="single" w:sz="4" w:space="0" w:color="auto"/>
              <w:bottom w:val="single" w:sz="4" w:space="0" w:color="auto"/>
              <w:right w:val="single" w:sz="6" w:space="0" w:color="auto"/>
            </w:tcBorders>
            <w:vAlign w:val="center"/>
            <w:hideMark/>
          </w:tcPr>
          <w:p w14:paraId="4709DAEA"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Runoff/Leaching from natural</w:t>
            </w:r>
          </w:p>
          <w:p w14:paraId="60200DDC" w14:textId="77777777" w:rsidR="002D096A" w:rsidRDefault="002D096A">
            <w:pPr>
              <w:rPr>
                <w:sz w:val="18"/>
              </w:rPr>
            </w:pPr>
            <w:r>
              <w:rPr>
                <w:rFonts w:ascii="ComicSansMS" w:hAnsi="ComicSansMS" w:cs="ComicSansMS"/>
                <w:sz w:val="18"/>
                <w:szCs w:val="18"/>
              </w:rPr>
              <w:t>deposits; Seawater influence</w:t>
            </w:r>
          </w:p>
        </w:tc>
      </w:tr>
      <w:tr w:rsidR="002D096A" w14:paraId="3C3E0243"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203BAE1F"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Total Dissolved Solids</w:t>
            </w:r>
          </w:p>
          <w:p w14:paraId="2C93AB49" w14:textId="77777777" w:rsidR="002D096A" w:rsidRDefault="002D096A">
            <w:pPr>
              <w:ind w:left="187"/>
              <w:rPr>
                <w:sz w:val="18"/>
              </w:rPr>
            </w:pPr>
            <w:r>
              <w:rPr>
                <w:rFonts w:ascii="ComicSansMS" w:hAnsi="ComicSansMS" w:cs="ComicSansMS"/>
                <w:sz w:val="18"/>
                <w:szCs w:val="18"/>
              </w:rPr>
              <w:t>(TDS) (ppm)</w:t>
            </w:r>
          </w:p>
        </w:tc>
        <w:tc>
          <w:tcPr>
            <w:tcW w:w="990" w:type="dxa"/>
            <w:tcBorders>
              <w:top w:val="single" w:sz="4" w:space="0" w:color="auto"/>
              <w:left w:val="single" w:sz="4" w:space="0" w:color="auto"/>
              <w:bottom w:val="single" w:sz="4" w:space="0" w:color="auto"/>
              <w:right w:val="single" w:sz="4" w:space="0" w:color="auto"/>
            </w:tcBorders>
            <w:vAlign w:val="center"/>
            <w:hideMark/>
          </w:tcPr>
          <w:p w14:paraId="381EE90F" w14:textId="77777777" w:rsidR="002D096A" w:rsidRDefault="002D096A">
            <w:pPr>
              <w:jc w:val="center"/>
              <w:rPr>
                <w:sz w:val="18"/>
              </w:rPr>
            </w:pPr>
            <w:r>
              <w:rPr>
                <w:sz w:val="18"/>
              </w:rPr>
              <w:t>5/17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4DFC09D" w14:textId="77777777" w:rsidR="002D096A" w:rsidRDefault="002D096A">
            <w:pPr>
              <w:jc w:val="center"/>
              <w:rPr>
                <w:sz w:val="18"/>
              </w:rPr>
            </w:pPr>
            <w:r>
              <w:rPr>
                <w:sz w:val="18"/>
              </w:rPr>
              <w:t>730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6ED0A8B" w14:textId="77777777" w:rsidR="002D096A" w:rsidRDefault="002D096A">
            <w:pPr>
              <w:jc w:val="center"/>
              <w:rPr>
                <w:sz w:val="18"/>
              </w:rPr>
            </w:pPr>
            <w:r>
              <w:rPr>
                <w:sz w:val="18"/>
              </w:rPr>
              <w:t>730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EBA6996" w14:textId="77777777" w:rsidR="002D096A" w:rsidRDefault="002D096A">
            <w:pPr>
              <w:jc w:val="center"/>
              <w:rPr>
                <w:sz w:val="18"/>
              </w:rPr>
            </w:pPr>
            <w:r>
              <w:rPr>
                <w:sz w:val="18"/>
              </w:rPr>
              <w:t>1000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717955" w14:textId="77777777" w:rsidR="002D096A" w:rsidRDefault="002D096A">
            <w:pPr>
              <w:jc w:val="center"/>
              <w:rPr>
                <w:sz w:val="18"/>
              </w:rPr>
            </w:pPr>
            <w:r>
              <w:rPr>
                <w:rFonts w:ascii="ComicSansMS" w:hAnsi="ComicSansMS" w:cs="ComicSansMS"/>
                <w:sz w:val="18"/>
                <w:szCs w:val="18"/>
              </w:rPr>
              <w:t>N/A, (N/A)</w:t>
            </w:r>
          </w:p>
        </w:tc>
        <w:tc>
          <w:tcPr>
            <w:tcW w:w="2805" w:type="dxa"/>
            <w:tcBorders>
              <w:top w:val="single" w:sz="4" w:space="0" w:color="auto"/>
              <w:left w:val="single" w:sz="4" w:space="0" w:color="auto"/>
              <w:bottom w:val="single" w:sz="4" w:space="0" w:color="auto"/>
              <w:right w:val="single" w:sz="4" w:space="0" w:color="auto"/>
            </w:tcBorders>
            <w:vAlign w:val="center"/>
            <w:hideMark/>
          </w:tcPr>
          <w:p w14:paraId="5C48838D"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Runoff/leaching from natural</w:t>
            </w:r>
          </w:p>
          <w:p w14:paraId="64EB919C" w14:textId="77777777" w:rsidR="002D096A" w:rsidRDefault="002D096A">
            <w:pPr>
              <w:rPr>
                <w:sz w:val="18"/>
              </w:rPr>
            </w:pPr>
            <w:r>
              <w:rPr>
                <w:rFonts w:ascii="ComicSansMS" w:hAnsi="ComicSansMS" w:cs="ComicSansMS"/>
                <w:sz w:val="18"/>
                <w:szCs w:val="18"/>
              </w:rPr>
              <w:t>deposits.</w:t>
            </w:r>
          </w:p>
        </w:tc>
      </w:tr>
      <w:tr w:rsidR="002D096A" w14:paraId="1E7F9D91"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31E99018" w14:textId="77777777" w:rsidR="002D096A" w:rsidRDefault="002D096A">
            <w:pPr>
              <w:ind w:left="187"/>
              <w:rPr>
                <w:sz w:val="18"/>
              </w:rPr>
            </w:pPr>
            <w:r>
              <w:rPr>
                <w:rFonts w:ascii="ComicSansMS" w:hAnsi="ComicSansMS" w:cs="ComicSansMS"/>
                <w:sz w:val="18"/>
                <w:szCs w:val="18"/>
              </w:rPr>
              <w:t>Sulfate (ppm)</w:t>
            </w:r>
          </w:p>
        </w:tc>
        <w:tc>
          <w:tcPr>
            <w:tcW w:w="990" w:type="dxa"/>
            <w:tcBorders>
              <w:top w:val="single" w:sz="4" w:space="0" w:color="auto"/>
              <w:left w:val="single" w:sz="4" w:space="0" w:color="auto"/>
              <w:bottom w:val="single" w:sz="4" w:space="0" w:color="auto"/>
              <w:right w:val="single" w:sz="4" w:space="0" w:color="auto"/>
            </w:tcBorders>
            <w:vAlign w:val="center"/>
            <w:hideMark/>
          </w:tcPr>
          <w:p w14:paraId="6849B4B2" w14:textId="77777777" w:rsidR="002D096A" w:rsidRDefault="002D096A">
            <w:pPr>
              <w:jc w:val="center"/>
              <w:rPr>
                <w:sz w:val="18"/>
              </w:rPr>
            </w:pPr>
            <w:r>
              <w:rPr>
                <w:sz w:val="18"/>
              </w:rPr>
              <w:t>5/17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EA5F18B" w14:textId="77777777" w:rsidR="002D096A" w:rsidRDefault="002D096A">
            <w:pPr>
              <w:jc w:val="center"/>
              <w:rPr>
                <w:sz w:val="18"/>
              </w:rPr>
            </w:pPr>
            <w:r>
              <w:rPr>
                <w:sz w:val="18"/>
              </w:rPr>
              <w:t>210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F305C60" w14:textId="77777777" w:rsidR="002D096A" w:rsidRDefault="002D096A">
            <w:pPr>
              <w:jc w:val="center"/>
              <w:rPr>
                <w:sz w:val="18"/>
              </w:rPr>
            </w:pPr>
            <w:r>
              <w:rPr>
                <w:sz w:val="18"/>
              </w:rPr>
              <w:t>210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D54CAE2" w14:textId="77777777" w:rsidR="002D096A" w:rsidRDefault="002D096A">
            <w:pPr>
              <w:jc w:val="center"/>
              <w:rPr>
                <w:sz w:val="18"/>
              </w:rPr>
            </w:pPr>
            <w:r>
              <w:rPr>
                <w:sz w:val="18"/>
              </w:rPr>
              <w:t>500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F80B42" w14:textId="77777777" w:rsidR="002D096A" w:rsidRDefault="002D096A">
            <w:pPr>
              <w:jc w:val="center"/>
              <w:rPr>
                <w:sz w:val="18"/>
              </w:rPr>
            </w:pPr>
            <w:r>
              <w:rPr>
                <w:rFonts w:ascii="ComicSansMS" w:hAnsi="ComicSansMS" w:cs="ComicSansMS"/>
                <w:sz w:val="18"/>
                <w:szCs w:val="18"/>
              </w:rPr>
              <w:t>N/A, (N/A)</w:t>
            </w:r>
          </w:p>
        </w:tc>
        <w:tc>
          <w:tcPr>
            <w:tcW w:w="2805" w:type="dxa"/>
            <w:tcBorders>
              <w:top w:val="single" w:sz="4" w:space="0" w:color="auto"/>
              <w:left w:val="single" w:sz="4" w:space="0" w:color="auto"/>
              <w:bottom w:val="single" w:sz="4" w:space="0" w:color="auto"/>
              <w:right w:val="single" w:sz="4" w:space="0" w:color="auto"/>
            </w:tcBorders>
            <w:vAlign w:val="center"/>
            <w:hideMark/>
          </w:tcPr>
          <w:p w14:paraId="4ED49D92"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Runoff/leaching from natural</w:t>
            </w:r>
          </w:p>
          <w:p w14:paraId="4DADC587" w14:textId="77777777" w:rsidR="002D096A" w:rsidRDefault="002D096A">
            <w:pPr>
              <w:rPr>
                <w:sz w:val="18"/>
              </w:rPr>
            </w:pPr>
            <w:r>
              <w:rPr>
                <w:rFonts w:ascii="ComicSansMS" w:hAnsi="ComicSansMS" w:cs="ComicSansMS"/>
                <w:sz w:val="18"/>
                <w:szCs w:val="18"/>
              </w:rPr>
              <w:t>deposits; industrial wastes.</w:t>
            </w:r>
          </w:p>
        </w:tc>
      </w:tr>
      <w:tr w:rsidR="002D096A" w14:paraId="499323FF"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20CC8F21" w14:textId="77777777" w:rsidR="002D096A" w:rsidRDefault="002D096A">
            <w:pPr>
              <w:ind w:left="187"/>
              <w:rPr>
                <w:sz w:val="18"/>
              </w:rPr>
            </w:pPr>
            <w:r>
              <w:rPr>
                <w:rFonts w:ascii="ComicSansMS" w:hAnsi="ComicSansMS" w:cs="ComicSansMS"/>
                <w:sz w:val="18"/>
                <w:szCs w:val="18"/>
              </w:rPr>
              <w:t>Turbidity (NTU)</w:t>
            </w:r>
          </w:p>
        </w:tc>
        <w:tc>
          <w:tcPr>
            <w:tcW w:w="990" w:type="dxa"/>
            <w:tcBorders>
              <w:top w:val="single" w:sz="4" w:space="0" w:color="auto"/>
              <w:left w:val="single" w:sz="4" w:space="0" w:color="auto"/>
              <w:bottom w:val="single" w:sz="4" w:space="0" w:color="auto"/>
              <w:right w:val="single" w:sz="4" w:space="0" w:color="auto"/>
            </w:tcBorders>
            <w:vAlign w:val="center"/>
            <w:hideMark/>
          </w:tcPr>
          <w:p w14:paraId="629BBB74" w14:textId="77777777" w:rsidR="002D096A" w:rsidRDefault="002D096A">
            <w:pPr>
              <w:jc w:val="center"/>
              <w:rPr>
                <w:sz w:val="18"/>
              </w:rPr>
            </w:pPr>
            <w:r>
              <w:rPr>
                <w:sz w:val="18"/>
              </w:rPr>
              <w:t>5/17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B734283" w14:textId="77777777" w:rsidR="002D096A" w:rsidRDefault="002D096A">
            <w:pPr>
              <w:jc w:val="center"/>
              <w:rPr>
                <w:sz w:val="18"/>
              </w:rPr>
            </w:pPr>
            <w:r>
              <w:rPr>
                <w:sz w:val="18"/>
              </w:rPr>
              <w:t>0.14</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FCB483F" w14:textId="77777777" w:rsidR="002D096A" w:rsidRDefault="002D096A">
            <w:pPr>
              <w:jc w:val="center"/>
              <w:rPr>
                <w:sz w:val="18"/>
              </w:rPr>
            </w:pPr>
            <w:r>
              <w:rPr>
                <w:sz w:val="18"/>
              </w:rPr>
              <w:t>0.14</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9F7C9F" w14:textId="77777777" w:rsidR="002D096A" w:rsidRDefault="002D096A">
            <w:pPr>
              <w:jc w:val="center"/>
              <w:rPr>
                <w:sz w:val="18"/>
              </w:rPr>
            </w:pPr>
            <w:r>
              <w:rPr>
                <w:sz w:val="18"/>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7C8A2C" w14:textId="77777777" w:rsidR="002D096A" w:rsidRDefault="002D096A">
            <w:pPr>
              <w:jc w:val="center"/>
              <w:rPr>
                <w:sz w:val="18"/>
              </w:rPr>
            </w:pPr>
            <w:r>
              <w:rPr>
                <w:rFonts w:ascii="ComicSansMS" w:hAnsi="ComicSansMS" w:cs="ComicSansMS"/>
                <w:sz w:val="18"/>
                <w:szCs w:val="18"/>
              </w:rPr>
              <w:t>N/A, (N/A)</w:t>
            </w:r>
          </w:p>
        </w:tc>
        <w:tc>
          <w:tcPr>
            <w:tcW w:w="2805" w:type="dxa"/>
            <w:tcBorders>
              <w:top w:val="single" w:sz="4" w:space="0" w:color="auto"/>
              <w:left w:val="single" w:sz="4" w:space="0" w:color="auto"/>
              <w:bottom w:val="single" w:sz="4" w:space="0" w:color="auto"/>
              <w:right w:val="single" w:sz="4" w:space="0" w:color="auto"/>
            </w:tcBorders>
            <w:vAlign w:val="center"/>
            <w:hideMark/>
          </w:tcPr>
          <w:p w14:paraId="55CD8C7B" w14:textId="77777777" w:rsidR="002D096A" w:rsidRDefault="002D096A">
            <w:pPr>
              <w:rPr>
                <w:sz w:val="18"/>
              </w:rPr>
            </w:pPr>
            <w:r>
              <w:rPr>
                <w:rFonts w:ascii="ComicSansMS" w:hAnsi="ComicSansMS" w:cs="ComicSansMS"/>
                <w:sz w:val="18"/>
                <w:szCs w:val="18"/>
              </w:rPr>
              <w:t>Soil runoff.</w:t>
            </w:r>
          </w:p>
        </w:tc>
      </w:tr>
      <w:tr w:rsidR="002D096A" w14:paraId="1CD108C2" w14:textId="77777777" w:rsidTr="002D096A">
        <w:tblPrEx>
          <w:tblLook w:val="04A0" w:firstRow="1" w:lastRow="0" w:firstColumn="1" w:lastColumn="0" w:noHBand="0" w:noVBand="1"/>
        </w:tblPrEx>
        <w:trPr>
          <w:gridAfter w:val="1"/>
          <w:wAfter w:w="6" w:type="dxa"/>
          <w:trHeight w:val="432"/>
          <w:jc w:val="center"/>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2CD8DB42"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Specific Conductance</w:t>
            </w:r>
          </w:p>
          <w:p w14:paraId="166042DA" w14:textId="77777777" w:rsidR="002D096A" w:rsidRDefault="002D096A">
            <w:pPr>
              <w:ind w:left="187"/>
              <w:rPr>
                <w:sz w:val="18"/>
              </w:rPr>
            </w:pPr>
            <w:r>
              <w:rPr>
                <w:rFonts w:ascii="ComicSansMS" w:hAnsi="ComicSansMS" w:cs="ComicSansMS"/>
                <w:sz w:val="18"/>
                <w:szCs w:val="18"/>
              </w:rPr>
              <w:t>(micromhos)</w:t>
            </w:r>
          </w:p>
        </w:tc>
        <w:tc>
          <w:tcPr>
            <w:tcW w:w="990" w:type="dxa"/>
            <w:tcBorders>
              <w:top w:val="single" w:sz="4" w:space="0" w:color="auto"/>
              <w:left w:val="single" w:sz="4" w:space="0" w:color="auto"/>
              <w:bottom w:val="single" w:sz="4" w:space="0" w:color="auto"/>
              <w:right w:val="single" w:sz="4" w:space="0" w:color="auto"/>
            </w:tcBorders>
            <w:vAlign w:val="center"/>
            <w:hideMark/>
          </w:tcPr>
          <w:p w14:paraId="05F170CD" w14:textId="5F6A430A" w:rsidR="002D096A" w:rsidRDefault="001A11E9">
            <w:pPr>
              <w:jc w:val="center"/>
              <w:rPr>
                <w:sz w:val="18"/>
              </w:rPr>
            </w:pPr>
            <w:r>
              <w:rPr>
                <w:sz w:val="18"/>
              </w:rPr>
              <w:t xml:space="preserve"> 11/19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A812684" w14:textId="398C7A31" w:rsidR="002D096A" w:rsidRDefault="001A11E9">
            <w:pPr>
              <w:jc w:val="center"/>
              <w:rPr>
                <w:sz w:val="18"/>
              </w:rPr>
            </w:pPr>
            <w:r>
              <w:rPr>
                <w:sz w:val="18"/>
              </w:rPr>
              <w:t>980</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7AF58B6" w14:textId="77777777" w:rsidR="002D096A" w:rsidRDefault="002D096A">
            <w:pPr>
              <w:jc w:val="center"/>
              <w:rPr>
                <w:sz w:val="18"/>
              </w:rPr>
            </w:pPr>
            <w:r>
              <w:rPr>
                <w:sz w:val="18"/>
              </w:rPr>
              <w:t>1100</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EB3840" w14:textId="77777777" w:rsidR="002D096A" w:rsidRDefault="002D096A">
            <w:pPr>
              <w:jc w:val="center"/>
              <w:rPr>
                <w:sz w:val="18"/>
              </w:rPr>
            </w:pPr>
            <w:r>
              <w:rPr>
                <w:sz w:val="18"/>
              </w:rPr>
              <w:t>1600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6D9CBEF" w14:textId="77777777" w:rsidR="002D096A" w:rsidRDefault="002D096A">
            <w:pPr>
              <w:jc w:val="center"/>
              <w:rPr>
                <w:sz w:val="18"/>
              </w:rPr>
            </w:pPr>
            <w:r>
              <w:rPr>
                <w:rFonts w:ascii="ComicSansMS" w:hAnsi="ComicSansMS" w:cs="ComicSansMS"/>
                <w:sz w:val="18"/>
                <w:szCs w:val="18"/>
              </w:rPr>
              <w:t>N/A, (N/A)</w:t>
            </w:r>
          </w:p>
        </w:tc>
        <w:tc>
          <w:tcPr>
            <w:tcW w:w="2805" w:type="dxa"/>
            <w:tcBorders>
              <w:top w:val="single" w:sz="4" w:space="0" w:color="auto"/>
              <w:left w:val="single" w:sz="4" w:space="0" w:color="auto"/>
              <w:bottom w:val="single" w:sz="4" w:space="0" w:color="auto"/>
              <w:right w:val="single" w:sz="4" w:space="0" w:color="auto"/>
            </w:tcBorders>
            <w:vAlign w:val="center"/>
            <w:hideMark/>
          </w:tcPr>
          <w:p w14:paraId="1C71841E" w14:textId="77777777" w:rsidR="002D096A" w:rsidRDefault="002D096A">
            <w:pPr>
              <w:autoSpaceDE w:val="0"/>
              <w:autoSpaceDN w:val="0"/>
              <w:adjustRightInd w:val="0"/>
              <w:rPr>
                <w:rFonts w:ascii="ComicSansMS" w:hAnsi="ComicSansMS" w:cs="ComicSansMS"/>
                <w:sz w:val="18"/>
                <w:szCs w:val="18"/>
              </w:rPr>
            </w:pPr>
            <w:r>
              <w:rPr>
                <w:rFonts w:ascii="ComicSansMS" w:hAnsi="ComicSansMS" w:cs="ComicSansMS"/>
                <w:sz w:val="18"/>
                <w:szCs w:val="18"/>
              </w:rPr>
              <w:t>Substances that form ions when</w:t>
            </w:r>
          </w:p>
          <w:p w14:paraId="49E622C7" w14:textId="77777777" w:rsidR="002D096A" w:rsidRDefault="002D096A">
            <w:pPr>
              <w:rPr>
                <w:sz w:val="18"/>
              </w:rPr>
            </w:pPr>
            <w:r>
              <w:rPr>
                <w:rFonts w:ascii="ComicSansMS" w:hAnsi="ComicSansMS" w:cs="ComicSansMS"/>
                <w:sz w:val="18"/>
                <w:szCs w:val="18"/>
              </w:rPr>
              <w:t>in water; Seawater influence.</w:t>
            </w:r>
          </w:p>
        </w:tc>
      </w:tr>
      <w:tr w:rsidR="002D096A" w:rsidRPr="001F3468" w14:paraId="391394F8" w14:textId="77777777" w:rsidTr="002D096A">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9B392CD" w14:textId="77777777" w:rsidR="002D096A" w:rsidRPr="00F41F91" w:rsidRDefault="002D096A" w:rsidP="002D096A">
            <w:pPr>
              <w:spacing w:before="20" w:after="20"/>
              <w:jc w:val="center"/>
              <w:rPr>
                <w:b/>
                <w:caps/>
              </w:rPr>
            </w:pPr>
            <w:r w:rsidRPr="00F41F91">
              <w:rPr>
                <w:b/>
                <w:caps/>
              </w:rPr>
              <w:t>TAble 6 – detection of UNREGULATED CONTAMINANTS</w:t>
            </w:r>
          </w:p>
        </w:tc>
      </w:tr>
      <w:tr w:rsidR="002D096A" w:rsidRPr="001F3468" w14:paraId="51C87D94" w14:textId="77777777" w:rsidTr="002D096A">
        <w:trPr>
          <w:cantSplit/>
          <w:trHeight w:val="440"/>
          <w:jc w:val="center"/>
        </w:trPr>
        <w:tc>
          <w:tcPr>
            <w:tcW w:w="2266"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2D096A" w:rsidRPr="00F41F91" w:rsidRDefault="002D096A" w:rsidP="002D096A">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2D096A" w:rsidRPr="00F41F91" w:rsidRDefault="002D096A" w:rsidP="002D096A">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2D096A" w:rsidRPr="00F41F91" w:rsidRDefault="002D096A" w:rsidP="002D096A">
            <w:pPr>
              <w:spacing w:before="40" w:after="40"/>
              <w:jc w:val="center"/>
              <w:rPr>
                <w:b/>
                <w:bCs/>
                <w:sz w:val="18"/>
              </w:rPr>
            </w:pPr>
            <w:r w:rsidRPr="00F41F91">
              <w:rPr>
                <w:b/>
                <w:bCs/>
                <w:sz w:val="18"/>
              </w:rPr>
              <w:t>Level Detected</w:t>
            </w:r>
          </w:p>
        </w:tc>
        <w:tc>
          <w:tcPr>
            <w:tcW w:w="1439" w:type="dxa"/>
            <w:tcBorders>
              <w:top w:val="single" w:sz="18" w:space="0" w:color="auto"/>
              <w:left w:val="single" w:sz="6" w:space="0" w:color="auto"/>
              <w:bottom w:val="double" w:sz="4" w:space="0" w:color="auto"/>
              <w:right w:val="single" w:sz="6" w:space="0" w:color="auto"/>
            </w:tcBorders>
            <w:vAlign w:val="center"/>
          </w:tcPr>
          <w:p w14:paraId="45A8A9D9" w14:textId="77777777" w:rsidR="002D096A" w:rsidRPr="00F41F91" w:rsidRDefault="002D096A" w:rsidP="002D096A">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2D096A" w:rsidRPr="00F41F91" w:rsidRDefault="002D096A" w:rsidP="002D096A">
            <w:pPr>
              <w:spacing w:before="40" w:after="40"/>
              <w:jc w:val="center"/>
              <w:rPr>
                <w:b/>
                <w:bCs/>
                <w:sz w:val="18"/>
              </w:rPr>
            </w:pPr>
            <w:r w:rsidRPr="00F41F91">
              <w:rPr>
                <w:b/>
                <w:bCs/>
                <w:sz w:val="18"/>
              </w:rPr>
              <w:t>Notification Level</w:t>
            </w:r>
          </w:p>
        </w:tc>
        <w:tc>
          <w:tcPr>
            <w:tcW w:w="2811"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2D096A" w:rsidRPr="00F41F91" w:rsidRDefault="002D096A" w:rsidP="002D096A">
            <w:pPr>
              <w:spacing w:before="40" w:after="40"/>
              <w:jc w:val="center"/>
              <w:rPr>
                <w:b/>
                <w:bCs/>
                <w:sz w:val="18"/>
              </w:rPr>
            </w:pPr>
            <w:r w:rsidRPr="00F41F91">
              <w:rPr>
                <w:b/>
                <w:bCs/>
                <w:sz w:val="18"/>
              </w:rPr>
              <w:t>Health Effects Language</w:t>
            </w:r>
          </w:p>
        </w:tc>
      </w:tr>
      <w:tr w:rsidR="002D096A" w:rsidRPr="001F3468" w14:paraId="4F974BB1" w14:textId="77777777" w:rsidTr="002D096A">
        <w:trPr>
          <w:trHeight w:val="432"/>
          <w:jc w:val="center"/>
        </w:trPr>
        <w:tc>
          <w:tcPr>
            <w:tcW w:w="2266" w:type="dxa"/>
            <w:gridSpan w:val="2"/>
            <w:tcBorders>
              <w:left w:val="single" w:sz="6" w:space="0" w:color="auto"/>
              <w:bottom w:val="single" w:sz="18" w:space="0" w:color="auto"/>
              <w:right w:val="single" w:sz="6" w:space="0" w:color="auto"/>
            </w:tcBorders>
          </w:tcPr>
          <w:p w14:paraId="13867A6C" w14:textId="77777777" w:rsidR="002D096A" w:rsidRPr="00F41F91" w:rsidRDefault="002D096A" w:rsidP="002D096A">
            <w:pPr>
              <w:rPr>
                <w:sz w:val="18"/>
              </w:rPr>
            </w:pPr>
          </w:p>
        </w:tc>
        <w:tc>
          <w:tcPr>
            <w:tcW w:w="990" w:type="dxa"/>
            <w:tcBorders>
              <w:left w:val="single" w:sz="6" w:space="0" w:color="auto"/>
              <w:bottom w:val="single" w:sz="18" w:space="0" w:color="auto"/>
              <w:right w:val="single" w:sz="6" w:space="0" w:color="auto"/>
            </w:tcBorders>
          </w:tcPr>
          <w:p w14:paraId="29134B0A" w14:textId="77777777" w:rsidR="002D096A" w:rsidRPr="00F41F91" w:rsidRDefault="002D096A" w:rsidP="002D096A">
            <w:pPr>
              <w:rPr>
                <w:sz w:val="18"/>
              </w:rPr>
            </w:pPr>
          </w:p>
        </w:tc>
        <w:tc>
          <w:tcPr>
            <w:tcW w:w="1350" w:type="dxa"/>
            <w:tcBorders>
              <w:left w:val="single" w:sz="6" w:space="0" w:color="auto"/>
              <w:bottom w:val="single" w:sz="18" w:space="0" w:color="auto"/>
              <w:right w:val="single" w:sz="6" w:space="0" w:color="auto"/>
            </w:tcBorders>
          </w:tcPr>
          <w:p w14:paraId="6432953F" w14:textId="77777777" w:rsidR="002D096A" w:rsidRPr="00F41F91" w:rsidRDefault="002D096A" w:rsidP="002D096A">
            <w:pPr>
              <w:rPr>
                <w:sz w:val="18"/>
              </w:rPr>
            </w:pPr>
          </w:p>
        </w:tc>
        <w:tc>
          <w:tcPr>
            <w:tcW w:w="1439" w:type="dxa"/>
            <w:tcBorders>
              <w:left w:val="single" w:sz="6" w:space="0" w:color="auto"/>
              <w:bottom w:val="single" w:sz="18" w:space="0" w:color="auto"/>
              <w:right w:val="single" w:sz="6" w:space="0" w:color="auto"/>
            </w:tcBorders>
            <w:shd w:val="clear" w:color="auto" w:fill="auto"/>
          </w:tcPr>
          <w:p w14:paraId="03949132" w14:textId="77777777" w:rsidR="002D096A" w:rsidRPr="00F41F91" w:rsidRDefault="002D096A" w:rsidP="002D096A">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2D096A" w:rsidRPr="00F41F91" w:rsidRDefault="002D096A" w:rsidP="002D096A">
            <w:pPr>
              <w:rPr>
                <w:sz w:val="18"/>
              </w:rPr>
            </w:pPr>
          </w:p>
        </w:tc>
        <w:tc>
          <w:tcPr>
            <w:tcW w:w="2811" w:type="dxa"/>
            <w:gridSpan w:val="2"/>
            <w:tcBorders>
              <w:top w:val="single" w:sz="6" w:space="0" w:color="auto"/>
              <w:left w:val="single" w:sz="6" w:space="0" w:color="auto"/>
              <w:bottom w:val="single" w:sz="18" w:space="0" w:color="auto"/>
              <w:right w:val="single" w:sz="6" w:space="0" w:color="auto"/>
            </w:tcBorders>
          </w:tcPr>
          <w:p w14:paraId="1C32453F" w14:textId="77777777" w:rsidR="002D096A" w:rsidRPr="00F41F91" w:rsidRDefault="002D096A" w:rsidP="002D096A">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w:t>
      </w:r>
      <w:r w:rsidRPr="0012764D">
        <w:rPr>
          <w:rFonts w:ascii="Times New Roman" w:hAnsi="Times New Roman"/>
        </w:rPr>
        <w:lastRenderedPageBreak/>
        <w:t xml:space="preserve">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F2152F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2D096A" w:rsidRPr="002D096A">
        <w:rPr>
          <w:rFonts w:ascii="Times New Roman" w:hAnsi="Times New Roman"/>
          <w:b/>
          <w:i/>
          <w:u w:val="single"/>
        </w:rPr>
        <w:t xml:space="preserve">VINEYARD </w:t>
      </w:r>
      <w:proofErr w:type="spellStart"/>
      <w:r w:rsidR="002D096A" w:rsidRPr="002D096A">
        <w:rPr>
          <w:rFonts w:ascii="Times New Roman" w:hAnsi="Times New Roman"/>
          <w:b/>
          <w:i/>
          <w:u w:val="single"/>
        </w:rPr>
        <w:t>ESTATES</w:t>
      </w:r>
      <w:r w:rsidRPr="001F3468">
        <w:rPr>
          <w:rFonts w:ascii="Times New Roman" w:hAnsi="Times New Roman"/>
        </w:rPr>
        <w:t>is</w:t>
      </w:r>
      <w:proofErr w:type="spell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515"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515"/>
      </w:tblGrid>
      <w:tr w:rsidR="001A11E9" w14:paraId="7CE37809" w14:textId="77777777" w:rsidTr="002D096A">
        <w:trPr>
          <w:cantSplit/>
        </w:trPr>
        <w:tc>
          <w:tcPr>
            <w:tcW w:w="10515" w:type="dxa"/>
            <w:tcBorders>
              <w:top w:val="nil"/>
              <w:left w:val="nil"/>
              <w:bottom w:val="single" w:sz="4" w:space="0" w:color="auto"/>
              <w:right w:val="nil"/>
            </w:tcBorders>
          </w:tcPr>
          <w:p w14:paraId="59B7D7ED" w14:textId="7FC33E86" w:rsidR="001A11E9" w:rsidRDefault="001A11E9">
            <w:pPr>
              <w:pStyle w:val="BodyText"/>
              <w:spacing w:before="0"/>
              <w:jc w:val="left"/>
              <w:rPr>
                <w:rFonts w:ascii="TimesNewRomanPS-ItalicMT" w:hAnsi="TimesNewRomanPS-ItalicMT" w:cs="TimesNewRomanPS-ItalicMT"/>
                <w:iCs/>
                <w:sz w:val="24"/>
                <w:szCs w:val="24"/>
              </w:rPr>
            </w:pPr>
            <w:r>
              <w:rPr>
                <w:rFonts w:ascii="TimesNewRomanPS-ItalicMT" w:hAnsi="TimesNewRomanPS-ItalicMT" w:cs="TimesNewRomanPS-ItalicMT"/>
                <w:iCs/>
                <w:sz w:val="24"/>
                <w:szCs w:val="24"/>
              </w:rPr>
              <w:t>In November 2019, the water was tested for Perchlorate results were non- detect</w:t>
            </w:r>
          </w:p>
        </w:tc>
      </w:tr>
      <w:tr w:rsidR="002D096A" w14:paraId="61DD3CA2" w14:textId="77777777" w:rsidTr="002D096A">
        <w:trPr>
          <w:cantSplit/>
        </w:trPr>
        <w:tc>
          <w:tcPr>
            <w:tcW w:w="10515" w:type="dxa"/>
            <w:tcBorders>
              <w:top w:val="nil"/>
              <w:left w:val="nil"/>
              <w:bottom w:val="single" w:sz="4" w:space="0" w:color="auto"/>
              <w:right w:val="nil"/>
            </w:tcBorders>
            <w:hideMark/>
          </w:tcPr>
          <w:p w14:paraId="06A422F1" w14:textId="77777777" w:rsidR="002D096A" w:rsidRDefault="002D096A">
            <w:pPr>
              <w:pStyle w:val="BodyText"/>
              <w:spacing w:before="0"/>
              <w:jc w:val="left"/>
              <w:rPr>
                <w:rFonts w:ascii="Times New Roman" w:hAnsi="Times New Roman"/>
              </w:rPr>
            </w:pPr>
            <w:r>
              <w:rPr>
                <w:rFonts w:ascii="TimesNewRomanPS-ItalicMT" w:hAnsi="TimesNewRomanPS-ItalicMT" w:cs="TimesNewRomanPS-ItalicMT"/>
                <w:iCs/>
                <w:sz w:val="24"/>
                <w:szCs w:val="24"/>
              </w:rPr>
              <w:t>In March 2017, the water was tested for 32 Synthetic Organic Chemicals (SOCs)</w:t>
            </w:r>
          </w:p>
        </w:tc>
      </w:tr>
      <w:tr w:rsidR="002D096A" w14:paraId="6D1BB4AC" w14:textId="77777777" w:rsidTr="002D096A">
        <w:trPr>
          <w:cantSplit/>
        </w:trPr>
        <w:tc>
          <w:tcPr>
            <w:tcW w:w="10515" w:type="dxa"/>
            <w:tcBorders>
              <w:top w:val="single" w:sz="4" w:space="0" w:color="auto"/>
              <w:left w:val="nil"/>
              <w:bottom w:val="single" w:sz="4" w:space="0" w:color="auto"/>
              <w:right w:val="nil"/>
            </w:tcBorders>
            <w:hideMark/>
          </w:tcPr>
          <w:p w14:paraId="7F6BFED2" w14:textId="77777777" w:rsidR="002D096A" w:rsidRDefault="002D096A">
            <w:pPr>
              <w:pStyle w:val="BodyText"/>
              <w:spacing w:before="0"/>
              <w:jc w:val="left"/>
              <w:rPr>
                <w:rFonts w:ascii="Times New Roman" w:hAnsi="Times New Roman"/>
              </w:rPr>
            </w:pPr>
            <w:r>
              <w:rPr>
                <w:rFonts w:ascii="TimesNewRomanPS-ItalicMT" w:hAnsi="TimesNewRomanPS-ItalicMT" w:cs="TimesNewRomanPS-ItalicMT"/>
                <w:iCs/>
                <w:sz w:val="24"/>
                <w:szCs w:val="24"/>
              </w:rPr>
              <w:t>In August 2017 the water was tested for 68 Volatile Organic Chemicals (VOCs).</w:t>
            </w:r>
          </w:p>
        </w:tc>
      </w:tr>
      <w:tr w:rsidR="002D096A" w14:paraId="2439F434" w14:textId="77777777" w:rsidTr="002D096A">
        <w:trPr>
          <w:cantSplit/>
        </w:trPr>
        <w:tc>
          <w:tcPr>
            <w:tcW w:w="10515" w:type="dxa"/>
            <w:tcBorders>
              <w:top w:val="single" w:sz="4" w:space="0" w:color="auto"/>
              <w:left w:val="nil"/>
              <w:bottom w:val="single" w:sz="4" w:space="0" w:color="auto"/>
              <w:right w:val="nil"/>
            </w:tcBorders>
            <w:hideMark/>
          </w:tcPr>
          <w:p w14:paraId="5AEF2A63" w14:textId="0899E289" w:rsidR="002D096A" w:rsidRDefault="002D096A">
            <w:pPr>
              <w:pStyle w:val="BodyText"/>
              <w:spacing w:before="0"/>
              <w:jc w:val="left"/>
              <w:rPr>
                <w:rFonts w:ascii="TimesNewRomanPS-ItalicMT" w:hAnsi="TimesNewRomanPS-ItalicMT" w:cs="TimesNewRomanPS-ItalicMT"/>
                <w:iCs/>
                <w:sz w:val="24"/>
                <w:szCs w:val="24"/>
              </w:rPr>
            </w:pPr>
            <w:r>
              <w:rPr>
                <w:rFonts w:ascii="TimesNewRomanPS-BoldItalicMT" w:hAnsi="TimesNewRomanPS-BoldItalicMT" w:cs="TimesNewRomanPS-BoldItalicMT"/>
                <w:bCs/>
                <w:iCs/>
                <w:sz w:val="24"/>
                <w:szCs w:val="24"/>
              </w:rPr>
              <w:t>R</w:t>
            </w:r>
            <w:r w:rsidR="001A11E9">
              <w:rPr>
                <w:rFonts w:ascii="TimesNewRomanPS-BoldItalicMT" w:hAnsi="TimesNewRomanPS-BoldItalicMT" w:cs="TimesNewRomanPS-BoldItalicMT"/>
                <w:bCs/>
                <w:iCs/>
                <w:sz w:val="24"/>
                <w:szCs w:val="24"/>
              </w:rPr>
              <w:t>esults for all samples were non-detect</w:t>
            </w:r>
            <w:r>
              <w:rPr>
                <w:rFonts w:ascii="TimesNewRomanPS-BoldItalicMT" w:hAnsi="TimesNewRomanPS-BoldItalicMT" w:cs="TimesNewRomanPS-BoldItalicMT"/>
                <w:bCs/>
                <w:iCs/>
                <w:sz w:val="24"/>
                <w:szCs w:val="24"/>
              </w:rPr>
              <w:t>.</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0445E32" w14:textId="19770D72" w:rsidR="002D096A" w:rsidRDefault="002D096A" w:rsidP="002D096A">
      <w:pPr>
        <w:spacing w:before="120" w:after="120"/>
        <w:jc w:val="both"/>
        <w:rPr>
          <w:sz w:val="22"/>
          <w:szCs w:val="24"/>
        </w:rPr>
      </w:pPr>
      <w:r>
        <w:rPr>
          <w:sz w:val="22"/>
          <w:szCs w:val="24"/>
        </w:rPr>
        <w:t xml:space="preserve">During the past year we were required to conduct </w:t>
      </w:r>
      <w:r w:rsidR="00691667">
        <w:rPr>
          <w:sz w:val="22"/>
          <w:szCs w:val="24"/>
        </w:rPr>
        <w:t>0</w:t>
      </w:r>
      <w:r>
        <w:rPr>
          <w:sz w:val="22"/>
          <w:szCs w:val="24"/>
        </w:rPr>
        <w:t xml:space="preserve"> Level 1 assessment(s).  </w:t>
      </w:r>
    </w:p>
    <w:p w14:paraId="09DE9D40" w14:textId="074BA0D7" w:rsidR="002D096A" w:rsidRDefault="002D096A" w:rsidP="002D096A">
      <w:pPr>
        <w:spacing w:before="120" w:after="120"/>
        <w:jc w:val="both"/>
        <w:rPr>
          <w:sz w:val="22"/>
          <w:szCs w:val="24"/>
        </w:rPr>
      </w:pPr>
      <w:r>
        <w:rPr>
          <w:sz w:val="22"/>
          <w:szCs w:val="24"/>
        </w:rPr>
        <w:t>During the past year 0 Level 2 assessments were required to be completed for our water system</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6B138752" w14:textId="68256939" w:rsidR="002D096A" w:rsidRDefault="002D096A" w:rsidP="002D096A">
      <w:pPr>
        <w:spacing w:before="120" w:after="120"/>
        <w:jc w:val="both"/>
        <w:rPr>
          <w:sz w:val="22"/>
          <w:szCs w:val="22"/>
        </w:rPr>
      </w:pPr>
      <w:r>
        <w:rPr>
          <w:sz w:val="22"/>
          <w:szCs w:val="22"/>
        </w:rPr>
        <w:t>We were</w:t>
      </w:r>
      <w:r w:rsidR="00691667">
        <w:rPr>
          <w:sz w:val="22"/>
          <w:szCs w:val="22"/>
        </w:rPr>
        <w:t xml:space="preserve"> NOT</w:t>
      </w:r>
      <w:r>
        <w:rPr>
          <w:sz w:val="22"/>
          <w:szCs w:val="22"/>
        </w:rPr>
        <w:t xml:space="preserve"> required to complete a Level 2 assessment because we found </w:t>
      </w:r>
      <w:r>
        <w:rPr>
          <w:i/>
          <w:sz w:val="22"/>
          <w:szCs w:val="22"/>
        </w:rPr>
        <w:t>E. coli</w:t>
      </w:r>
      <w:r>
        <w:rPr>
          <w:sz w:val="22"/>
          <w:szCs w:val="22"/>
        </w:rPr>
        <w:t xml:space="preserve"> in our water system.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096A" w14:paraId="670AEA8B" w14:textId="77777777" w:rsidTr="002D096A">
        <w:trPr>
          <w:trHeight w:val="360"/>
        </w:trPr>
        <w:tc>
          <w:tcPr>
            <w:tcW w:w="10800" w:type="dxa"/>
            <w:tcBorders>
              <w:top w:val="nil"/>
              <w:left w:val="nil"/>
              <w:bottom w:val="single" w:sz="4" w:space="0" w:color="auto"/>
              <w:right w:val="nil"/>
            </w:tcBorders>
            <w:hideMark/>
          </w:tcPr>
          <w:p w14:paraId="673B3FC9" w14:textId="77777777" w:rsidR="002D096A" w:rsidRPr="00B05EAC" w:rsidRDefault="002D096A">
            <w:pPr>
              <w:pStyle w:val="BodyText"/>
              <w:spacing w:before="0"/>
              <w:jc w:val="left"/>
              <w:rPr>
                <w:rFonts w:ascii="Times New Roman" w:hAnsi="Times New Roman"/>
                <w:b/>
                <w:bCs/>
                <w:sz w:val="28"/>
                <w:szCs w:val="28"/>
              </w:rPr>
            </w:pPr>
            <w:r w:rsidRPr="00B05EAC">
              <w:rPr>
                <w:rFonts w:ascii="Times New Roman" w:hAnsi="Times New Roman"/>
                <w:b/>
                <w:bCs/>
                <w:sz w:val="28"/>
                <w:szCs w:val="28"/>
              </w:rPr>
              <w:t>N/A</w:t>
            </w:r>
          </w:p>
        </w:tc>
      </w:tr>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08FF" w14:textId="77777777" w:rsidR="00821DEB" w:rsidRDefault="00821DEB">
      <w:r>
        <w:separator/>
      </w:r>
    </w:p>
  </w:endnote>
  <w:endnote w:type="continuationSeparator" w:id="0">
    <w:p w14:paraId="65346C19" w14:textId="77777777" w:rsidR="00821DEB" w:rsidRDefault="0082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20500000000000000"/>
    <w:charset w:val="88"/>
    <w:family w:val="roman"/>
    <w:pitch w:val="variable"/>
    <w:sig w:usb0="A00002FF" w:usb1="28CFFCFA" w:usb2="00000016" w:usb3="00000000" w:csb0="00100001" w:csb1="00000000"/>
  </w:font>
  <w:font w:name="ComicSansMS">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2EB7A" w14:textId="77777777" w:rsidR="00821DEB" w:rsidRDefault="00821DEB">
      <w:r>
        <w:separator/>
      </w:r>
    </w:p>
  </w:footnote>
  <w:footnote w:type="continuationSeparator" w:id="0">
    <w:p w14:paraId="3747CD91" w14:textId="77777777" w:rsidR="00821DEB" w:rsidRDefault="0082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3580D">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3580D">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262B"/>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11E9"/>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5747F"/>
    <w:rsid w:val="00264941"/>
    <w:rsid w:val="00273001"/>
    <w:rsid w:val="002856B8"/>
    <w:rsid w:val="00294205"/>
    <w:rsid w:val="002A20BB"/>
    <w:rsid w:val="002A3636"/>
    <w:rsid w:val="002A5C9F"/>
    <w:rsid w:val="002A746D"/>
    <w:rsid w:val="002A779B"/>
    <w:rsid w:val="002B0B02"/>
    <w:rsid w:val="002B3B52"/>
    <w:rsid w:val="002D096A"/>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3580D"/>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2C7E"/>
    <w:rsid w:val="00546A68"/>
    <w:rsid w:val="00546FDB"/>
    <w:rsid w:val="00552D92"/>
    <w:rsid w:val="005540D9"/>
    <w:rsid w:val="0055419E"/>
    <w:rsid w:val="0056039D"/>
    <w:rsid w:val="005669AF"/>
    <w:rsid w:val="005830FA"/>
    <w:rsid w:val="0058536C"/>
    <w:rsid w:val="005937EB"/>
    <w:rsid w:val="005A087D"/>
    <w:rsid w:val="005C04C1"/>
    <w:rsid w:val="005D1987"/>
    <w:rsid w:val="005D4636"/>
    <w:rsid w:val="005D5746"/>
    <w:rsid w:val="005D698E"/>
    <w:rsid w:val="005D7E01"/>
    <w:rsid w:val="005E0C69"/>
    <w:rsid w:val="005E24C8"/>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1667"/>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3227"/>
    <w:rsid w:val="007B0B24"/>
    <w:rsid w:val="007C18C6"/>
    <w:rsid w:val="007D1761"/>
    <w:rsid w:val="007D21BB"/>
    <w:rsid w:val="007F584E"/>
    <w:rsid w:val="00801E7B"/>
    <w:rsid w:val="00802363"/>
    <w:rsid w:val="008035BF"/>
    <w:rsid w:val="00803861"/>
    <w:rsid w:val="00803DFB"/>
    <w:rsid w:val="0080460B"/>
    <w:rsid w:val="00814AAE"/>
    <w:rsid w:val="00816622"/>
    <w:rsid w:val="00821DEB"/>
    <w:rsid w:val="008222DE"/>
    <w:rsid w:val="0082242B"/>
    <w:rsid w:val="008225EA"/>
    <w:rsid w:val="00822AA3"/>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5EAC"/>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7990"/>
    <w:rsid w:val="00BC2F95"/>
    <w:rsid w:val="00BC48D8"/>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3992"/>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1E6C"/>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2D096A"/>
    <w:rPr>
      <w:sz w:val="24"/>
    </w:rPr>
  </w:style>
  <w:style w:type="character" w:customStyle="1" w:styleId="BodyTextChar">
    <w:name w:val="Body Text Char"/>
    <w:basedOn w:val="DefaultParagraphFont"/>
    <w:link w:val="BodyText"/>
    <w:rsid w:val="002D096A"/>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241445">
      <w:bodyDiv w:val="1"/>
      <w:marLeft w:val="0"/>
      <w:marRight w:val="0"/>
      <w:marTop w:val="0"/>
      <w:marBottom w:val="0"/>
      <w:divBdr>
        <w:top w:val="none" w:sz="0" w:space="0" w:color="auto"/>
        <w:left w:val="none" w:sz="0" w:space="0" w:color="auto"/>
        <w:bottom w:val="none" w:sz="0" w:space="0" w:color="auto"/>
        <w:right w:val="none" w:sz="0" w:space="0" w:color="auto"/>
      </w:divBdr>
    </w:div>
    <w:div w:id="488863650">
      <w:bodyDiv w:val="1"/>
      <w:marLeft w:val="0"/>
      <w:marRight w:val="0"/>
      <w:marTop w:val="0"/>
      <w:marBottom w:val="0"/>
      <w:divBdr>
        <w:top w:val="none" w:sz="0" w:space="0" w:color="auto"/>
        <w:left w:val="none" w:sz="0" w:space="0" w:color="auto"/>
        <w:bottom w:val="none" w:sz="0" w:space="0" w:color="auto"/>
        <w:right w:val="none" w:sz="0" w:space="0" w:color="auto"/>
      </w:divBdr>
    </w:div>
    <w:div w:id="506791572">
      <w:bodyDiv w:val="1"/>
      <w:marLeft w:val="0"/>
      <w:marRight w:val="0"/>
      <w:marTop w:val="0"/>
      <w:marBottom w:val="0"/>
      <w:divBdr>
        <w:top w:val="none" w:sz="0" w:space="0" w:color="auto"/>
        <w:left w:val="none" w:sz="0" w:space="0" w:color="auto"/>
        <w:bottom w:val="none" w:sz="0" w:space="0" w:color="auto"/>
        <w:right w:val="none" w:sz="0" w:space="0" w:color="auto"/>
      </w:divBdr>
    </w:div>
    <w:div w:id="889001882">
      <w:bodyDiv w:val="1"/>
      <w:marLeft w:val="0"/>
      <w:marRight w:val="0"/>
      <w:marTop w:val="0"/>
      <w:marBottom w:val="0"/>
      <w:divBdr>
        <w:top w:val="none" w:sz="0" w:space="0" w:color="auto"/>
        <w:left w:val="none" w:sz="0" w:space="0" w:color="auto"/>
        <w:bottom w:val="none" w:sz="0" w:space="0" w:color="auto"/>
        <w:right w:val="none" w:sz="0" w:space="0" w:color="auto"/>
      </w:divBdr>
    </w:div>
    <w:div w:id="1060908277">
      <w:bodyDiv w:val="1"/>
      <w:marLeft w:val="0"/>
      <w:marRight w:val="0"/>
      <w:marTop w:val="0"/>
      <w:marBottom w:val="0"/>
      <w:divBdr>
        <w:top w:val="none" w:sz="0" w:space="0" w:color="auto"/>
        <w:left w:val="none" w:sz="0" w:space="0" w:color="auto"/>
        <w:bottom w:val="none" w:sz="0" w:space="0" w:color="auto"/>
        <w:right w:val="none" w:sz="0" w:space="0" w:color="auto"/>
      </w:divBdr>
    </w:div>
    <w:div w:id="1281374792">
      <w:bodyDiv w:val="1"/>
      <w:marLeft w:val="0"/>
      <w:marRight w:val="0"/>
      <w:marTop w:val="0"/>
      <w:marBottom w:val="0"/>
      <w:divBdr>
        <w:top w:val="none" w:sz="0" w:space="0" w:color="auto"/>
        <w:left w:val="none" w:sz="0" w:space="0" w:color="auto"/>
        <w:bottom w:val="none" w:sz="0" w:space="0" w:color="auto"/>
        <w:right w:val="none" w:sz="0" w:space="0" w:color="auto"/>
      </w:divBdr>
    </w:div>
    <w:div w:id="1661499384">
      <w:bodyDiv w:val="1"/>
      <w:marLeft w:val="0"/>
      <w:marRight w:val="0"/>
      <w:marTop w:val="0"/>
      <w:marBottom w:val="0"/>
      <w:divBdr>
        <w:top w:val="none" w:sz="0" w:space="0" w:color="auto"/>
        <w:left w:val="none" w:sz="0" w:space="0" w:color="auto"/>
        <w:bottom w:val="none" w:sz="0" w:space="0" w:color="auto"/>
        <w:right w:val="none" w:sz="0" w:space="0" w:color="auto"/>
      </w:divBdr>
    </w:div>
    <w:div w:id="1759136229">
      <w:bodyDiv w:val="1"/>
      <w:marLeft w:val="0"/>
      <w:marRight w:val="0"/>
      <w:marTop w:val="0"/>
      <w:marBottom w:val="0"/>
      <w:divBdr>
        <w:top w:val="none" w:sz="0" w:space="0" w:color="auto"/>
        <w:left w:val="none" w:sz="0" w:space="0" w:color="auto"/>
        <w:bottom w:val="none" w:sz="0" w:space="0" w:color="auto"/>
        <w:right w:val="none" w:sz="0" w:space="0" w:color="auto"/>
      </w:divBdr>
    </w:div>
    <w:div w:id="19923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685A-C20C-41CB-AC4E-3872E85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Lyons, Lora@Waterboards</cp:lastModifiedBy>
  <cp:revision>4</cp:revision>
  <cp:lastPrinted>2020-02-07T22:54:00Z</cp:lastPrinted>
  <dcterms:created xsi:type="dcterms:W3CDTF">2020-06-26T23:57:00Z</dcterms:created>
  <dcterms:modified xsi:type="dcterms:W3CDTF">2020-06-27T00:05:00Z</dcterms:modified>
</cp:coreProperties>
</file>