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53729DF" w:rsidR="005879C4" w:rsidRPr="000A759E" w:rsidRDefault="00361B69" w:rsidP="005D5750">
            <w:pPr>
              <w:spacing w:before="40" w:after="40"/>
              <w:jc w:val="both"/>
              <w:rPr>
                <w:rFonts w:ascii="Arial" w:hAnsi="Arial" w:cs="Arial"/>
                <w:sz w:val="24"/>
                <w:szCs w:val="24"/>
              </w:rPr>
            </w:pPr>
            <w:r w:rsidRPr="00361B69">
              <w:rPr>
                <w:rFonts w:ascii="Arial" w:hAnsi="Arial" w:cs="Arial"/>
                <w:sz w:val="24"/>
                <w:szCs w:val="24"/>
              </w:rPr>
              <w:t>BLYTHE MOBILE HOME ESTATES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0997F5D" w:rsidR="005879C4" w:rsidRPr="000A759E" w:rsidRDefault="00BA0CCA" w:rsidP="005D5750">
            <w:pPr>
              <w:spacing w:before="40" w:after="40"/>
              <w:jc w:val="both"/>
              <w:rPr>
                <w:rFonts w:ascii="Arial" w:hAnsi="Arial" w:cs="Arial"/>
                <w:sz w:val="24"/>
                <w:szCs w:val="24"/>
              </w:rPr>
            </w:pPr>
            <w:r w:rsidRPr="00BA0CCA">
              <w:rPr>
                <w:rFonts w:ascii="Arial" w:hAnsi="Arial" w:cs="Arial"/>
                <w:sz w:val="24"/>
                <w:szCs w:val="24"/>
              </w:rPr>
              <w:t>CA3301045</w:t>
            </w:r>
          </w:p>
        </w:tc>
      </w:tr>
    </w:tbl>
    <w:p w14:paraId="3C51C8E2" w14:textId="65C6628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774780">
        <w:rPr>
          <w:rFonts w:ascii="Arial" w:hAnsi="Arial" w:cs="Arial"/>
          <w:sz w:val="24"/>
          <w:szCs w:val="24"/>
        </w:rPr>
        <w:t>8/12/25</w:t>
      </w:r>
      <w:r w:rsidRPr="000A759E">
        <w:rPr>
          <w:rFonts w:ascii="Arial" w:hAnsi="Arial" w:cs="Arial"/>
          <w:sz w:val="24"/>
          <w:szCs w:val="24"/>
        </w:rPr>
        <w:t>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501C0F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A0CCA">
              <w:rPr>
                <w:rFonts w:ascii="Arial" w:hAnsi="Arial" w:cs="Arial"/>
                <w:sz w:val="24"/>
                <w:szCs w:val="24"/>
              </w:rPr>
              <w:t>Steve Foley</w:t>
            </w:r>
          </w:p>
        </w:tc>
        <w:tc>
          <w:tcPr>
            <w:tcW w:w="4755" w:type="dxa"/>
            <w:vAlign w:val="center"/>
          </w:tcPr>
          <w:p w14:paraId="7AB34DF1" w14:textId="1505291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7107E">
              <w:rPr>
                <w:rFonts w:ascii="Arial" w:hAnsi="Arial" w:cs="Arial"/>
                <w:sz w:val="24"/>
                <w:szCs w:val="24"/>
              </w:rPr>
              <w:t xml:space="preserve"> Water </w:t>
            </w:r>
            <w:proofErr w:type="spellStart"/>
            <w:r w:rsidR="00FD15B8">
              <w:rPr>
                <w:rFonts w:ascii="Arial" w:hAnsi="Arial" w:cs="Arial"/>
                <w:sz w:val="24"/>
                <w:szCs w:val="24"/>
              </w:rPr>
              <w:t>Dist</w:t>
            </w:r>
            <w:proofErr w:type="spellEnd"/>
            <w:r w:rsidR="00FD15B8">
              <w:rPr>
                <w:rFonts w:ascii="Arial" w:hAnsi="Arial" w:cs="Arial"/>
                <w:sz w:val="24"/>
                <w:szCs w:val="24"/>
              </w:rPr>
              <w:t xml:space="preserve"> OPT</w:t>
            </w:r>
          </w:p>
        </w:tc>
      </w:tr>
      <w:tr w:rsidR="000A759E" w14:paraId="459EA55B" w14:textId="77777777" w:rsidTr="000A759E">
        <w:trPr>
          <w:trHeight w:val="455"/>
        </w:trPr>
        <w:tc>
          <w:tcPr>
            <w:tcW w:w="4575" w:type="dxa"/>
            <w:vAlign w:val="center"/>
          </w:tcPr>
          <w:p w14:paraId="71B3077A" w14:textId="3146AA1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0C4029">
              <w:rPr>
                <w:rFonts w:ascii="Arial" w:hAnsi="Arial" w:cs="Arial"/>
                <w:sz w:val="24"/>
                <w:szCs w:val="24"/>
              </w:rPr>
              <w:t>Steve Foley</w:t>
            </w:r>
          </w:p>
        </w:tc>
        <w:tc>
          <w:tcPr>
            <w:tcW w:w="4755" w:type="dxa"/>
            <w:vAlign w:val="center"/>
          </w:tcPr>
          <w:p w14:paraId="7C32D83D" w14:textId="3B594F4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3709D">
              <w:rPr>
                <w:rFonts w:ascii="Arial" w:hAnsi="Arial" w:cs="Arial"/>
                <w:sz w:val="24"/>
                <w:szCs w:val="24"/>
              </w:rPr>
              <w:t>9/16/2025</w:t>
            </w:r>
          </w:p>
        </w:tc>
      </w:tr>
      <w:tr w:rsidR="000A759E" w14:paraId="5321F3CA" w14:textId="77777777" w:rsidTr="000A759E">
        <w:trPr>
          <w:trHeight w:val="394"/>
        </w:trPr>
        <w:tc>
          <w:tcPr>
            <w:tcW w:w="4575" w:type="dxa"/>
            <w:vAlign w:val="center"/>
          </w:tcPr>
          <w:p w14:paraId="723A5E03" w14:textId="7DE89BB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3709D">
              <w:rPr>
                <w:rFonts w:ascii="Arial" w:hAnsi="Arial" w:cs="Arial"/>
                <w:sz w:val="24"/>
                <w:szCs w:val="24"/>
              </w:rPr>
              <w:t>760-220-7838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61E5111" w:rsidR="005879C4" w:rsidRPr="000A759E" w:rsidRDefault="00FD15B8"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58C9D18" w:rsidR="008820F1" w:rsidRPr="000A759E" w:rsidRDefault="00FC62F6" w:rsidP="00361BDB">
            <w:pPr>
              <w:pStyle w:val="BodyText2"/>
              <w:spacing w:before="0" w:after="0" w:line="276" w:lineRule="auto"/>
              <w:rPr>
                <w:rFonts w:ascii="Arial" w:hAnsi="Arial" w:cs="Arial"/>
                <w:i w:val="0"/>
                <w:sz w:val="24"/>
                <w:szCs w:val="24"/>
              </w:rPr>
            </w:pPr>
            <w:r>
              <w:rPr>
                <w:rFonts w:ascii="Arial" w:hAnsi="Arial" w:cs="Arial"/>
                <w:i w:val="0"/>
                <w:sz w:val="24"/>
                <w:szCs w:val="24"/>
              </w:rPr>
              <w:t>Door to D</w:t>
            </w:r>
            <w:r w:rsidR="001B0C51">
              <w:rPr>
                <w:rFonts w:ascii="Arial" w:hAnsi="Arial" w:cs="Arial"/>
                <w:i w:val="0"/>
                <w:sz w:val="24"/>
                <w:szCs w:val="24"/>
              </w:rPr>
              <w:t>oor</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8ABF" w14:textId="77777777" w:rsidR="00C65A71" w:rsidRDefault="00C65A71">
      <w:r>
        <w:separator/>
      </w:r>
    </w:p>
  </w:endnote>
  <w:endnote w:type="continuationSeparator" w:id="0">
    <w:p w14:paraId="49CB67EE" w14:textId="77777777" w:rsidR="00C65A71" w:rsidRDefault="00C6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C630" w14:textId="77777777" w:rsidR="00C65A71" w:rsidRDefault="00C65A71">
      <w:r>
        <w:separator/>
      </w:r>
    </w:p>
  </w:footnote>
  <w:footnote w:type="continuationSeparator" w:id="0">
    <w:p w14:paraId="21D5B079" w14:textId="77777777" w:rsidR="00C65A71" w:rsidRDefault="00C6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029"/>
    <w:rsid w:val="000C462F"/>
    <w:rsid w:val="00112E26"/>
    <w:rsid w:val="00120AE1"/>
    <w:rsid w:val="00153D91"/>
    <w:rsid w:val="00156593"/>
    <w:rsid w:val="00180210"/>
    <w:rsid w:val="001A1FAF"/>
    <w:rsid w:val="001A6B5C"/>
    <w:rsid w:val="001B0C51"/>
    <w:rsid w:val="001E0392"/>
    <w:rsid w:val="001F44D6"/>
    <w:rsid w:val="001F5C84"/>
    <w:rsid w:val="00211F95"/>
    <w:rsid w:val="002214BA"/>
    <w:rsid w:val="00285EF6"/>
    <w:rsid w:val="002D6086"/>
    <w:rsid w:val="00301DAF"/>
    <w:rsid w:val="0030525B"/>
    <w:rsid w:val="00330A26"/>
    <w:rsid w:val="00334369"/>
    <w:rsid w:val="00361B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709D"/>
    <w:rsid w:val="0065406D"/>
    <w:rsid w:val="00656EAE"/>
    <w:rsid w:val="006576EF"/>
    <w:rsid w:val="00674084"/>
    <w:rsid w:val="006A6ED2"/>
    <w:rsid w:val="006C7ED4"/>
    <w:rsid w:val="006E143E"/>
    <w:rsid w:val="00711A0A"/>
    <w:rsid w:val="00712C02"/>
    <w:rsid w:val="00727504"/>
    <w:rsid w:val="00751264"/>
    <w:rsid w:val="00774780"/>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79BD"/>
    <w:rsid w:val="00935B60"/>
    <w:rsid w:val="00957463"/>
    <w:rsid w:val="00977AE5"/>
    <w:rsid w:val="0099450E"/>
    <w:rsid w:val="009A135E"/>
    <w:rsid w:val="009A218C"/>
    <w:rsid w:val="009D7F48"/>
    <w:rsid w:val="00A16B9D"/>
    <w:rsid w:val="00A16F17"/>
    <w:rsid w:val="00A20B80"/>
    <w:rsid w:val="00A32728"/>
    <w:rsid w:val="00A62B7A"/>
    <w:rsid w:val="00A75D4F"/>
    <w:rsid w:val="00AC67E4"/>
    <w:rsid w:val="00AF388E"/>
    <w:rsid w:val="00B21764"/>
    <w:rsid w:val="00B557C8"/>
    <w:rsid w:val="00B80B89"/>
    <w:rsid w:val="00B82D2F"/>
    <w:rsid w:val="00BA0CCA"/>
    <w:rsid w:val="00BA7831"/>
    <w:rsid w:val="00BC4716"/>
    <w:rsid w:val="00BF29A9"/>
    <w:rsid w:val="00BF5852"/>
    <w:rsid w:val="00C0687E"/>
    <w:rsid w:val="00C65A71"/>
    <w:rsid w:val="00C710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648AF"/>
    <w:rsid w:val="00FC0BDA"/>
    <w:rsid w:val="00FC109D"/>
    <w:rsid w:val="00FC62F6"/>
    <w:rsid w:val="00FD15B8"/>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675</Words>
  <Characters>3775</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Kim Foley</cp:lastModifiedBy>
  <cp:revision>30</cp:revision>
  <cp:lastPrinted>2021-02-13T22:43:00Z</cp:lastPrinted>
  <dcterms:created xsi:type="dcterms:W3CDTF">2020-02-06T23:48:00Z</dcterms:created>
  <dcterms:modified xsi:type="dcterms:W3CDTF">2025-09-17T03:19:00Z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b49d5e4f-bbdb-4e98-8b77-c7e9e90dfce4</vt:lpwstr>
  </property>
</Properties>
</file>