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9DA4852"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444F47">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3B61C236" w14:textId="6B05AB9E" w:rsidR="00180F74" w:rsidRDefault="00180F74" w:rsidP="00180F74">
            <w:pPr>
              <w:pStyle w:val="BodyText3"/>
              <w:pBdr>
                <w:top w:val="none" w:sz="0" w:space="0" w:color="auto"/>
                <w:left w:val="none" w:sz="0" w:space="0" w:color="auto"/>
                <w:bottom w:val="none" w:sz="0" w:space="0" w:color="auto"/>
                <w:right w:val="none" w:sz="0" w:space="0" w:color="auto"/>
              </w:pBdr>
              <w:jc w:val="left"/>
              <w:rPr>
                <w:b/>
              </w:rPr>
            </w:pPr>
            <w:r>
              <w:rPr>
                <w:b/>
              </w:rPr>
              <w:t>Estancia Winery WS (CA2702613)</w:t>
            </w:r>
          </w:p>
          <w:p w14:paraId="0D6334CF" w14:textId="4390302A" w:rsidR="00BC6327" w:rsidRPr="00412B2F" w:rsidRDefault="00180F74" w:rsidP="00180F74">
            <w:pPr>
              <w:pStyle w:val="BodyText3"/>
              <w:pBdr>
                <w:top w:val="none" w:sz="0" w:space="0" w:color="auto"/>
                <w:left w:val="none" w:sz="0" w:space="0" w:color="auto"/>
                <w:bottom w:val="none" w:sz="0" w:space="0" w:color="auto"/>
                <w:right w:val="none" w:sz="0" w:space="0" w:color="auto"/>
              </w:pBdr>
              <w:jc w:val="left"/>
              <w:rPr>
                <w:b/>
                <w:sz w:val="21"/>
                <w:szCs w:val="21"/>
              </w:rPr>
            </w:pPr>
            <w:r>
              <w:rPr>
                <w:b/>
              </w:rPr>
              <w:t xml:space="preserve"> </w:t>
            </w:r>
            <w:r>
              <w:rPr>
                <w:b/>
                <w:sz w:val="16"/>
                <w:szCs w:val="16"/>
              </w:rPr>
              <w:t xml:space="preserve">(Stonewall </w:t>
            </w:r>
            <w:r w:rsidR="004216C3">
              <w:rPr>
                <w:b/>
                <w:sz w:val="16"/>
                <w:szCs w:val="16"/>
              </w:rPr>
              <w:t>Canyon</w:t>
            </w:r>
            <w:r>
              <w:rPr>
                <w:b/>
                <w:sz w:val="16"/>
                <w:szCs w:val="16"/>
              </w:rPr>
              <w:t xml:space="preserve"> Winery)</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431353C" w:rsidR="00BC6327" w:rsidRPr="00412B2F" w:rsidRDefault="009D0195"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16</w:t>
            </w:r>
            <w:r w:rsidR="007A0307">
              <w:rPr>
                <w:sz w:val="21"/>
                <w:szCs w:val="21"/>
              </w:rPr>
              <w:t>, 202</w:t>
            </w:r>
            <w:r w:rsidR="00444F47">
              <w:rPr>
                <w:sz w:val="21"/>
                <w:szCs w:val="21"/>
              </w:rPr>
              <w:t>4</w:t>
            </w:r>
          </w:p>
        </w:tc>
      </w:tr>
    </w:tbl>
    <w:p w14:paraId="57550AFE" w14:textId="6EED336D"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9D23A4">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591E9377"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0FDEF44F" w14:textId="77777777" w:rsidR="0090114D" w:rsidRDefault="0090114D" w:rsidP="0090114D">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3C331CA7" w14:textId="77777777" w:rsidR="0090114D" w:rsidRPr="001F3468" w:rsidRDefault="0090114D"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180F74" w:rsidRPr="001F3468" w14:paraId="5383DCCF" w14:textId="77777777" w:rsidTr="005A26E0">
        <w:trPr>
          <w:gridBefore w:val="1"/>
          <w:wBefore w:w="108" w:type="dxa"/>
          <w:cantSplit/>
        </w:trPr>
        <w:tc>
          <w:tcPr>
            <w:tcW w:w="2970" w:type="dxa"/>
            <w:gridSpan w:val="2"/>
          </w:tcPr>
          <w:p w14:paraId="5AA865E4" w14:textId="77777777" w:rsidR="00180F74" w:rsidRPr="001F3468" w:rsidRDefault="00180F74" w:rsidP="00180F74">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66403333" w:rsidR="00180F74" w:rsidRPr="001F3468" w:rsidRDefault="00180F74" w:rsidP="00180F74">
            <w:pPr>
              <w:pStyle w:val="BodyText3"/>
              <w:pBdr>
                <w:top w:val="none" w:sz="0" w:space="0" w:color="auto"/>
                <w:left w:val="none" w:sz="0" w:space="0" w:color="auto"/>
                <w:bottom w:val="none" w:sz="0" w:space="0" w:color="auto"/>
                <w:right w:val="none" w:sz="0" w:space="0" w:color="auto"/>
              </w:pBdr>
              <w:ind w:right="-115"/>
              <w:jc w:val="left"/>
              <w:rPr>
                <w:sz w:val="22"/>
              </w:rPr>
            </w:pPr>
            <w:r w:rsidRPr="00D81178">
              <w:rPr>
                <w:sz w:val="18"/>
                <w:szCs w:val="18"/>
              </w:rPr>
              <w:t>Groundwater Well</w:t>
            </w:r>
          </w:p>
        </w:tc>
      </w:tr>
      <w:tr w:rsidR="00180F74" w:rsidRPr="001F3468" w14:paraId="54587108" w14:textId="77777777" w:rsidTr="005A26E0">
        <w:trPr>
          <w:gridBefore w:val="1"/>
          <w:wBefore w:w="108" w:type="dxa"/>
          <w:cantSplit/>
        </w:trPr>
        <w:tc>
          <w:tcPr>
            <w:tcW w:w="3600" w:type="dxa"/>
            <w:gridSpan w:val="3"/>
          </w:tcPr>
          <w:p w14:paraId="04BAC08D" w14:textId="77777777" w:rsidR="00180F74" w:rsidRPr="001F3468"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3D24FF3" w:rsidR="00180F74" w:rsidRPr="001F3468" w:rsidRDefault="00180F74" w:rsidP="00180F74">
            <w:pPr>
              <w:pStyle w:val="BodyText3"/>
              <w:pBdr>
                <w:top w:val="none" w:sz="0" w:space="0" w:color="auto"/>
                <w:left w:val="none" w:sz="0" w:space="0" w:color="auto"/>
                <w:bottom w:val="none" w:sz="0" w:space="0" w:color="auto"/>
                <w:right w:val="none" w:sz="0" w:space="0" w:color="auto"/>
              </w:pBdr>
              <w:jc w:val="left"/>
              <w:rPr>
                <w:sz w:val="22"/>
              </w:rPr>
            </w:pPr>
            <w:r w:rsidRPr="00D81178">
              <w:rPr>
                <w:sz w:val="18"/>
                <w:szCs w:val="18"/>
              </w:rPr>
              <w:t>Well #1, Pinnacles Vineyards by truck scale</w:t>
            </w:r>
          </w:p>
        </w:tc>
      </w:tr>
      <w:tr w:rsidR="00180F74"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180F74" w:rsidRPr="001F3468"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80F74" w:rsidRPr="001F3468" w14:paraId="745859FD" w14:textId="77777777" w:rsidTr="005A26E0">
        <w:trPr>
          <w:gridBefore w:val="1"/>
          <w:wBefore w:w="108" w:type="dxa"/>
        </w:trPr>
        <w:tc>
          <w:tcPr>
            <w:tcW w:w="4500" w:type="dxa"/>
            <w:gridSpan w:val="4"/>
          </w:tcPr>
          <w:p w14:paraId="5E44AE5C" w14:textId="77777777" w:rsidR="00180F74"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5C2920F9" w:rsidR="00180F74" w:rsidRDefault="00180F74" w:rsidP="00180F74">
            <w:pPr>
              <w:pStyle w:val="BodyText3"/>
              <w:pBdr>
                <w:top w:val="none" w:sz="0" w:space="0" w:color="auto"/>
                <w:left w:val="none" w:sz="0" w:space="0" w:color="auto"/>
                <w:bottom w:val="none" w:sz="0" w:space="0" w:color="auto"/>
                <w:right w:val="none" w:sz="0" w:space="0" w:color="auto"/>
              </w:pBdr>
              <w:jc w:val="left"/>
              <w:rPr>
                <w:sz w:val="22"/>
              </w:rPr>
            </w:pPr>
            <w:r w:rsidRPr="00D81178">
              <w:rPr>
                <w:sz w:val="18"/>
                <w:szCs w:val="18"/>
              </w:rPr>
              <w:t xml:space="preserve">A copy of the complete assessment is available at the Monterey County </w:t>
            </w:r>
          </w:p>
        </w:tc>
      </w:tr>
      <w:tr w:rsidR="00180F74" w:rsidRPr="001F3468" w14:paraId="049B9614" w14:textId="77777777" w:rsidTr="005A26E0">
        <w:trPr>
          <w:gridBefore w:val="1"/>
          <w:wBefore w:w="108" w:type="dxa"/>
        </w:trPr>
        <w:tc>
          <w:tcPr>
            <w:tcW w:w="10872" w:type="dxa"/>
            <w:gridSpan w:val="7"/>
            <w:tcBorders>
              <w:bottom w:val="single" w:sz="4" w:space="0" w:color="auto"/>
            </w:tcBorders>
          </w:tcPr>
          <w:p w14:paraId="7C813A04" w14:textId="2AD853DE" w:rsidR="00180F74"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18"/>
                <w:szCs w:val="18"/>
              </w:rPr>
              <w:t xml:space="preserve"> </w:t>
            </w:r>
            <w:r w:rsidRPr="00D81178">
              <w:rPr>
                <w:sz w:val="18"/>
                <w:szCs w:val="18"/>
              </w:rPr>
              <w:t>Environmental Health Office or by contacting Estancia Winery or Cypress Water Services</w:t>
            </w:r>
          </w:p>
        </w:tc>
      </w:tr>
      <w:tr w:rsidR="00180F74" w:rsidRPr="001F3468" w14:paraId="1F370561" w14:textId="77777777" w:rsidTr="005A26E0">
        <w:trPr>
          <w:gridBefore w:val="1"/>
          <w:wBefore w:w="108" w:type="dxa"/>
        </w:trPr>
        <w:tc>
          <w:tcPr>
            <w:tcW w:w="7110" w:type="dxa"/>
            <w:gridSpan w:val="6"/>
          </w:tcPr>
          <w:p w14:paraId="5FD94306" w14:textId="1E1AEBCF" w:rsidR="00180F74" w:rsidRPr="001F3468"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7258244" w:rsidR="00180F74" w:rsidRDefault="00180F74" w:rsidP="00180F74">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180F74"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180F74"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7456"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180F74" w:rsidRDefault="00180F74">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180F74" w:rsidRDefault="00180F74">
                            <w:r>
                              <w:t>Cypress Water Services, Inc. – (831)920-6796 – Info@CypressWaterServices.com</w:t>
                            </w:r>
                          </w:p>
                        </w:txbxContent>
                      </v:textbox>
                    </v:shape>
                  </w:pict>
                </mc:Fallback>
              </mc:AlternateContent>
            </w:r>
          </w:p>
        </w:tc>
      </w:tr>
      <w:tr w:rsidR="00180F74" w:rsidRPr="001F3468" w14:paraId="7909C877" w14:textId="77777777" w:rsidTr="005A26E0">
        <w:trPr>
          <w:gridBefore w:val="1"/>
          <w:gridAfter w:val="6"/>
          <w:wBefore w:w="108" w:type="dxa"/>
          <w:wAfter w:w="7992" w:type="dxa"/>
          <w:cantSplit/>
          <w:trHeight w:val="134"/>
        </w:trPr>
        <w:tc>
          <w:tcPr>
            <w:tcW w:w="2880" w:type="dxa"/>
          </w:tcPr>
          <w:p w14:paraId="79D56212" w14:textId="77777777" w:rsidR="00180F74" w:rsidRPr="001F3468" w:rsidRDefault="00180F74" w:rsidP="00180F74">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180F74"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180F74" w:rsidRDefault="00180F74" w:rsidP="00180F74">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180F74"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180F74" w:rsidRPr="001F3468" w:rsidRDefault="00180F74" w:rsidP="00180F74">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180F74"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180F74" w:rsidRPr="00AE0EA9" w:rsidRDefault="00180F74" w:rsidP="00180F74">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180F74"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180F74" w:rsidRPr="00AE0EA9" w:rsidRDefault="00180F74" w:rsidP="00180F74">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180F74" w:rsidRPr="00AE0EA9" w:rsidRDefault="00180F74" w:rsidP="00180F74">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180F74" w:rsidRPr="00AE0EA9" w:rsidRDefault="00180F74" w:rsidP="00180F74">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180F74" w:rsidRPr="00AE0EA9" w:rsidRDefault="00180F74" w:rsidP="00180F74">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180F74" w:rsidRPr="00AE0EA9" w:rsidRDefault="00180F74" w:rsidP="00180F74">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180F74" w:rsidRPr="00AE0EA9" w:rsidRDefault="00180F74" w:rsidP="00180F74">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180F74" w:rsidRPr="00AE0EA9" w:rsidRDefault="00180F74" w:rsidP="00180F74">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180F74" w:rsidRPr="00AE0EA9" w:rsidRDefault="00180F74" w:rsidP="00180F74">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180F74" w:rsidRPr="00AE0EA9" w:rsidRDefault="00180F74" w:rsidP="00180F74">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180F74" w:rsidRPr="00AE0EA9" w:rsidRDefault="00180F74" w:rsidP="00180F74">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180F74" w:rsidRPr="00AE0EA9" w:rsidRDefault="00180F74" w:rsidP="00180F74">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180F74" w:rsidRPr="00AE0EA9" w:rsidRDefault="00180F74" w:rsidP="00180F74">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180F74" w:rsidRPr="00AE0EA9" w:rsidRDefault="00180F74" w:rsidP="00180F74">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w:t>
      </w:r>
      <w:r w:rsidRPr="00AE0EA9">
        <w:rPr>
          <w:sz w:val="18"/>
          <w:szCs w:val="18"/>
        </w:rPr>
        <w:lastRenderedPageBreak/>
        <w:t>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C3BE42D" w:rsidR="00C842E9" w:rsidRPr="00F41F91" w:rsidRDefault="008361B5" w:rsidP="005A26E0">
            <w:pPr>
              <w:jc w:val="center"/>
              <w:rPr>
                <w:sz w:val="18"/>
                <w:szCs w:val="18"/>
                <w:u w:val="single"/>
              </w:rPr>
            </w:pPr>
            <w:r>
              <w:rPr>
                <w:sz w:val="18"/>
                <w:szCs w:val="18"/>
                <w:u w:val="single"/>
              </w:rPr>
              <w:t>4</w:t>
            </w:r>
          </w:p>
        </w:tc>
        <w:tc>
          <w:tcPr>
            <w:tcW w:w="1080" w:type="dxa"/>
            <w:gridSpan w:val="2"/>
            <w:tcBorders>
              <w:top w:val="nil"/>
              <w:bottom w:val="single" w:sz="4" w:space="0" w:color="auto"/>
            </w:tcBorders>
            <w:vAlign w:val="center"/>
          </w:tcPr>
          <w:p w14:paraId="41570855" w14:textId="1597A01A" w:rsidR="00BC6327" w:rsidRPr="00F41F91" w:rsidRDefault="008361B5" w:rsidP="005A26E0">
            <w:pPr>
              <w:jc w:val="center"/>
              <w:rPr>
                <w:sz w:val="18"/>
                <w:szCs w:val="18"/>
              </w:rPr>
            </w:pPr>
            <w:r>
              <w:rPr>
                <w:sz w:val="18"/>
                <w:szCs w:val="18"/>
              </w:rPr>
              <w:t>3</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A6E1A11" w:rsidR="00AE0EA9" w:rsidRPr="00F41F91" w:rsidRDefault="00444F47" w:rsidP="005A26E0">
            <w:pPr>
              <w:jc w:val="center"/>
              <w:rPr>
                <w:sz w:val="18"/>
              </w:rPr>
            </w:pPr>
            <w:r>
              <w:rPr>
                <w:sz w:val="18"/>
              </w:rPr>
              <w:t>9/2023</w:t>
            </w:r>
          </w:p>
        </w:tc>
        <w:tc>
          <w:tcPr>
            <w:tcW w:w="990" w:type="dxa"/>
            <w:tcBorders>
              <w:top w:val="nil"/>
            </w:tcBorders>
            <w:vAlign w:val="center"/>
          </w:tcPr>
          <w:p w14:paraId="2EB76238" w14:textId="7BFCA19F" w:rsidR="00AE0EA9" w:rsidRPr="00F41F91" w:rsidRDefault="00180F74" w:rsidP="005A26E0">
            <w:pPr>
              <w:jc w:val="center"/>
              <w:rPr>
                <w:sz w:val="18"/>
              </w:rPr>
            </w:pPr>
            <w:r>
              <w:rPr>
                <w:sz w:val="18"/>
              </w:rPr>
              <w:t>5</w:t>
            </w:r>
          </w:p>
        </w:tc>
        <w:tc>
          <w:tcPr>
            <w:tcW w:w="1350" w:type="dxa"/>
            <w:gridSpan w:val="2"/>
            <w:tcBorders>
              <w:top w:val="nil"/>
              <w:bottom w:val="nil"/>
            </w:tcBorders>
            <w:vAlign w:val="center"/>
          </w:tcPr>
          <w:p w14:paraId="4C3FDB54" w14:textId="47166896" w:rsidR="00AE0EA9" w:rsidRPr="00F41F91" w:rsidRDefault="00180F74" w:rsidP="005A26E0">
            <w:pPr>
              <w:jc w:val="center"/>
              <w:rPr>
                <w:sz w:val="18"/>
              </w:rPr>
            </w:pPr>
            <w:r>
              <w:rPr>
                <w:sz w:val="18"/>
              </w:rPr>
              <w:t>0.</w:t>
            </w:r>
            <w:r w:rsidR="00444F47">
              <w:rPr>
                <w:sz w:val="18"/>
              </w:rPr>
              <w:t>7</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584470AB" w:rsidR="00AE0EA9" w:rsidRPr="00F41F91" w:rsidRDefault="00444F47" w:rsidP="005A26E0">
            <w:pPr>
              <w:jc w:val="center"/>
              <w:rPr>
                <w:sz w:val="18"/>
              </w:rPr>
            </w:pPr>
            <w:r>
              <w:rPr>
                <w:sz w:val="18"/>
              </w:rPr>
              <w:t>9/2023</w:t>
            </w:r>
          </w:p>
        </w:tc>
        <w:tc>
          <w:tcPr>
            <w:tcW w:w="990" w:type="dxa"/>
            <w:tcBorders>
              <w:bottom w:val="single" w:sz="18" w:space="0" w:color="auto"/>
            </w:tcBorders>
            <w:vAlign w:val="center"/>
          </w:tcPr>
          <w:p w14:paraId="18011756" w14:textId="25D1540A" w:rsidR="00AE0EA9" w:rsidRPr="00F41F91" w:rsidRDefault="00180F74" w:rsidP="005A26E0">
            <w:pPr>
              <w:jc w:val="center"/>
              <w:rPr>
                <w:sz w:val="18"/>
              </w:rPr>
            </w:pPr>
            <w:r>
              <w:rPr>
                <w:sz w:val="18"/>
              </w:rPr>
              <w:t>5</w:t>
            </w:r>
          </w:p>
        </w:tc>
        <w:tc>
          <w:tcPr>
            <w:tcW w:w="1350" w:type="dxa"/>
            <w:gridSpan w:val="2"/>
            <w:tcBorders>
              <w:bottom w:val="single" w:sz="18" w:space="0" w:color="auto"/>
            </w:tcBorders>
            <w:vAlign w:val="center"/>
          </w:tcPr>
          <w:p w14:paraId="7CE90126" w14:textId="61FF6A6F" w:rsidR="00AE0EA9" w:rsidRPr="00F41F91" w:rsidRDefault="00180F74" w:rsidP="005A26E0">
            <w:pPr>
              <w:jc w:val="center"/>
              <w:rPr>
                <w:sz w:val="18"/>
              </w:rPr>
            </w:pPr>
            <w:r>
              <w:rPr>
                <w:sz w:val="18"/>
              </w:rPr>
              <w:t>0</w:t>
            </w:r>
            <w:r w:rsidR="00444F47">
              <w:rPr>
                <w:sz w:val="18"/>
              </w:rPr>
              <w:t>.04</w:t>
            </w:r>
            <w:r w:rsidR="004D28CD">
              <w:rPr>
                <w:sz w:val="18"/>
              </w:rPr>
              <w:t>51</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4266E1D4" w:rsidR="00B3023D" w:rsidRPr="00321E5D" w:rsidRDefault="00C4661A" w:rsidP="005A26E0">
            <w:pPr>
              <w:jc w:val="center"/>
              <w:rPr>
                <w:sz w:val="14"/>
                <w:szCs w:val="14"/>
              </w:rPr>
            </w:pPr>
            <w:r w:rsidRPr="00321E5D">
              <w:rPr>
                <w:sz w:val="14"/>
                <w:szCs w:val="14"/>
              </w:rPr>
              <w:t>1/</w:t>
            </w:r>
            <w:r w:rsidR="00444F47">
              <w:rPr>
                <w:sz w:val="14"/>
                <w:szCs w:val="14"/>
              </w:rPr>
              <w:t>2023</w:t>
            </w:r>
          </w:p>
        </w:tc>
        <w:tc>
          <w:tcPr>
            <w:tcW w:w="900" w:type="dxa"/>
            <w:gridSpan w:val="2"/>
            <w:tcBorders>
              <w:top w:val="nil"/>
              <w:bottom w:val="single" w:sz="4" w:space="0" w:color="auto"/>
            </w:tcBorders>
            <w:vAlign w:val="center"/>
          </w:tcPr>
          <w:p w14:paraId="690B0D1C" w14:textId="59C0F95A" w:rsidR="00B3023D" w:rsidRPr="00F41F91" w:rsidRDefault="00444F47" w:rsidP="005A26E0">
            <w:pPr>
              <w:jc w:val="center"/>
              <w:rPr>
                <w:sz w:val="18"/>
              </w:rPr>
            </w:pPr>
            <w:r>
              <w:rPr>
                <w:sz w:val="18"/>
              </w:rPr>
              <w:t>68</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180F74"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180F74" w:rsidRPr="00F41F91" w:rsidRDefault="00180F74" w:rsidP="00180F74">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347CBBC2" w:rsidR="00180F74" w:rsidRPr="00F41F91" w:rsidRDefault="008A002C" w:rsidP="00180F74">
            <w:pPr>
              <w:jc w:val="center"/>
              <w:rPr>
                <w:sz w:val="18"/>
              </w:rPr>
            </w:pPr>
            <w:r>
              <w:rPr>
                <w:sz w:val="18"/>
              </w:rPr>
              <w:t>N/A</w:t>
            </w:r>
          </w:p>
        </w:tc>
        <w:tc>
          <w:tcPr>
            <w:tcW w:w="900" w:type="dxa"/>
            <w:gridSpan w:val="2"/>
            <w:tcBorders>
              <w:bottom w:val="single" w:sz="18" w:space="0" w:color="auto"/>
            </w:tcBorders>
            <w:vAlign w:val="center"/>
          </w:tcPr>
          <w:p w14:paraId="5F571C45" w14:textId="07745B8B" w:rsidR="00180F74" w:rsidRPr="00F41F91" w:rsidRDefault="008A002C" w:rsidP="00180F74">
            <w:pPr>
              <w:jc w:val="center"/>
              <w:rPr>
                <w:sz w:val="18"/>
              </w:rPr>
            </w:pPr>
            <w:r>
              <w:rPr>
                <w:sz w:val="18"/>
              </w:rPr>
              <w:t>N/A</w:t>
            </w:r>
          </w:p>
        </w:tc>
        <w:tc>
          <w:tcPr>
            <w:tcW w:w="990" w:type="dxa"/>
            <w:gridSpan w:val="4"/>
            <w:tcBorders>
              <w:bottom w:val="single" w:sz="18" w:space="0" w:color="auto"/>
            </w:tcBorders>
            <w:vAlign w:val="center"/>
          </w:tcPr>
          <w:p w14:paraId="2BE476FB" w14:textId="79D5AAE6" w:rsidR="00180F74" w:rsidRPr="00F41F91" w:rsidRDefault="00180F74" w:rsidP="00180F74">
            <w:pPr>
              <w:jc w:val="center"/>
              <w:rPr>
                <w:sz w:val="18"/>
              </w:rPr>
            </w:pPr>
            <w:r>
              <w:rPr>
                <w:sz w:val="18"/>
              </w:rPr>
              <w:t>N/A</w:t>
            </w:r>
          </w:p>
        </w:tc>
        <w:tc>
          <w:tcPr>
            <w:tcW w:w="630" w:type="dxa"/>
            <w:tcBorders>
              <w:bottom w:val="single" w:sz="18" w:space="0" w:color="auto"/>
            </w:tcBorders>
            <w:vAlign w:val="center"/>
          </w:tcPr>
          <w:p w14:paraId="76B554F2" w14:textId="77777777" w:rsidR="00180F74" w:rsidRPr="00F41F91" w:rsidRDefault="00180F74" w:rsidP="00180F74">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180F74" w:rsidRPr="00F41F91" w:rsidRDefault="00180F74" w:rsidP="00180F74">
            <w:pPr>
              <w:jc w:val="center"/>
              <w:rPr>
                <w:sz w:val="18"/>
              </w:rPr>
            </w:pPr>
            <w:r w:rsidRPr="00F41F91">
              <w:rPr>
                <w:sz w:val="18"/>
              </w:rPr>
              <w:t>None</w:t>
            </w:r>
          </w:p>
        </w:tc>
        <w:tc>
          <w:tcPr>
            <w:tcW w:w="4634" w:type="dxa"/>
            <w:gridSpan w:val="4"/>
            <w:tcBorders>
              <w:bottom w:val="single" w:sz="18" w:space="0" w:color="auto"/>
              <w:right w:val="single" w:sz="6" w:space="0" w:color="auto"/>
            </w:tcBorders>
            <w:vAlign w:val="center"/>
          </w:tcPr>
          <w:p w14:paraId="092D52C6" w14:textId="77777777" w:rsidR="00180F74" w:rsidRPr="00F41F91" w:rsidRDefault="00180F74" w:rsidP="00180F74">
            <w:pPr>
              <w:jc w:val="center"/>
              <w:rPr>
                <w:sz w:val="18"/>
              </w:rPr>
            </w:pPr>
            <w:r w:rsidRPr="00F41F91">
              <w:rPr>
                <w:sz w:val="18"/>
              </w:rPr>
              <w:t>Sum of polyvalent cations present in the water, generally magnesium and calcium, and are usually naturally occurring</w:t>
            </w:r>
          </w:p>
        </w:tc>
      </w:tr>
      <w:tr w:rsidR="00180F74"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180F74" w:rsidRPr="00F41F91" w:rsidRDefault="00180F74" w:rsidP="00180F74">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80F74"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180F74" w:rsidRPr="00F41F91" w:rsidRDefault="00180F74" w:rsidP="00180F74">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180F74" w:rsidRPr="00F41F91" w:rsidRDefault="00180F74" w:rsidP="00180F74">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180F74" w:rsidRPr="00F41F91" w:rsidRDefault="00180F74" w:rsidP="00180F74">
            <w:pPr>
              <w:jc w:val="center"/>
              <w:rPr>
                <w:b/>
                <w:sz w:val="18"/>
              </w:rPr>
            </w:pPr>
            <w:r w:rsidRPr="00F41F91">
              <w:rPr>
                <w:b/>
                <w:sz w:val="18"/>
              </w:rPr>
              <w:t>Level</w:t>
            </w:r>
            <w:r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180F74" w:rsidRPr="00F41F91" w:rsidRDefault="00180F74" w:rsidP="00180F74">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180F74" w:rsidRPr="00F41F91" w:rsidRDefault="00180F74" w:rsidP="00180F74">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180F74" w:rsidRPr="00AE0EA9" w:rsidRDefault="00180F74" w:rsidP="00180F74">
            <w:pPr>
              <w:jc w:val="center"/>
              <w:rPr>
                <w:b/>
                <w:sz w:val="18"/>
                <w:szCs w:val="18"/>
              </w:rPr>
            </w:pPr>
            <w:r w:rsidRPr="00AE0EA9">
              <w:rPr>
                <w:b/>
                <w:bCs/>
                <w:sz w:val="18"/>
                <w:szCs w:val="18"/>
              </w:rPr>
              <w:t>PHG</w:t>
            </w:r>
            <w:r w:rsidRPr="00AE0EA9">
              <w:rPr>
                <w:b/>
                <w:sz w:val="18"/>
                <w:szCs w:val="18"/>
              </w:rPr>
              <w:t xml:space="preserve"> </w:t>
            </w:r>
          </w:p>
          <w:p w14:paraId="1AECBA0B" w14:textId="55A6EF32" w:rsidR="00180F74" w:rsidRPr="00F41F91" w:rsidRDefault="00180F74" w:rsidP="00180F74">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180F74" w:rsidRPr="00F41F91" w:rsidRDefault="00180F74" w:rsidP="00180F74">
            <w:pPr>
              <w:jc w:val="center"/>
              <w:rPr>
                <w:b/>
                <w:sz w:val="18"/>
              </w:rPr>
            </w:pPr>
            <w:r w:rsidRPr="00F41F91">
              <w:rPr>
                <w:b/>
                <w:sz w:val="18"/>
              </w:rPr>
              <w:t>Typical Source of Contaminant</w:t>
            </w:r>
          </w:p>
        </w:tc>
      </w:tr>
      <w:tr w:rsidR="00E94042" w:rsidRPr="001F3468" w14:paraId="5AA32A64" w14:textId="77777777" w:rsidTr="00AE0EA9">
        <w:trPr>
          <w:gridAfter w:val="1"/>
          <w:wAfter w:w="46" w:type="dxa"/>
          <w:trHeight w:val="432"/>
          <w:jc w:val="center"/>
        </w:trPr>
        <w:tc>
          <w:tcPr>
            <w:tcW w:w="2512" w:type="dxa"/>
            <w:gridSpan w:val="2"/>
            <w:tcBorders>
              <w:top w:val="nil"/>
              <w:left w:val="single" w:sz="6" w:space="0" w:color="auto"/>
            </w:tcBorders>
            <w:vAlign w:val="center"/>
          </w:tcPr>
          <w:p w14:paraId="120F8590" w14:textId="31610D85" w:rsidR="00E94042" w:rsidRDefault="00E94042" w:rsidP="00E94042">
            <w:pPr>
              <w:ind w:left="180"/>
              <w:jc w:val="center"/>
              <w:rPr>
                <w:sz w:val="18"/>
              </w:rPr>
            </w:pPr>
            <w:r>
              <w:rPr>
                <w:sz w:val="18"/>
              </w:rPr>
              <w:t>Bromate (ppb)</w:t>
            </w:r>
          </w:p>
        </w:tc>
        <w:tc>
          <w:tcPr>
            <w:tcW w:w="900" w:type="dxa"/>
            <w:gridSpan w:val="2"/>
            <w:tcBorders>
              <w:top w:val="nil"/>
            </w:tcBorders>
            <w:vAlign w:val="center"/>
          </w:tcPr>
          <w:p w14:paraId="28A064AC" w14:textId="77777777" w:rsidR="00E94042" w:rsidRDefault="003D405E" w:rsidP="00E94042">
            <w:pPr>
              <w:jc w:val="center"/>
              <w:rPr>
                <w:sz w:val="18"/>
              </w:rPr>
            </w:pPr>
            <w:r>
              <w:rPr>
                <w:sz w:val="18"/>
              </w:rPr>
              <w:t>Monthly</w:t>
            </w:r>
          </w:p>
          <w:p w14:paraId="7883A42D" w14:textId="5E940119" w:rsidR="003D405E" w:rsidRDefault="003D405E" w:rsidP="00E94042">
            <w:pPr>
              <w:jc w:val="center"/>
              <w:rPr>
                <w:sz w:val="18"/>
              </w:rPr>
            </w:pPr>
            <w:r>
              <w:rPr>
                <w:sz w:val="18"/>
              </w:rPr>
              <w:t>202</w:t>
            </w:r>
            <w:r w:rsidR="00444F47">
              <w:rPr>
                <w:sz w:val="18"/>
              </w:rPr>
              <w:t>3</w:t>
            </w:r>
          </w:p>
        </w:tc>
        <w:tc>
          <w:tcPr>
            <w:tcW w:w="1170" w:type="dxa"/>
            <w:gridSpan w:val="3"/>
            <w:tcBorders>
              <w:top w:val="nil"/>
            </w:tcBorders>
            <w:vAlign w:val="center"/>
          </w:tcPr>
          <w:p w14:paraId="6D3E3B65" w14:textId="54DE12E1" w:rsidR="00E94042" w:rsidRDefault="00FE557C" w:rsidP="00E94042">
            <w:pPr>
              <w:jc w:val="center"/>
              <w:rPr>
                <w:sz w:val="18"/>
              </w:rPr>
            </w:pPr>
            <w:r>
              <w:rPr>
                <w:sz w:val="18"/>
              </w:rPr>
              <w:t>2.</w:t>
            </w:r>
            <w:r w:rsidR="006C07B5">
              <w:rPr>
                <w:sz w:val="18"/>
              </w:rPr>
              <w:t>725</w:t>
            </w:r>
          </w:p>
        </w:tc>
        <w:tc>
          <w:tcPr>
            <w:tcW w:w="990" w:type="dxa"/>
            <w:gridSpan w:val="4"/>
            <w:tcBorders>
              <w:top w:val="nil"/>
            </w:tcBorders>
            <w:vAlign w:val="center"/>
          </w:tcPr>
          <w:p w14:paraId="07798503" w14:textId="2F259F17" w:rsidR="00E94042" w:rsidRPr="00F754E7" w:rsidRDefault="00383C7B" w:rsidP="00E94042">
            <w:pPr>
              <w:jc w:val="center"/>
              <w:rPr>
                <w:sz w:val="18"/>
              </w:rPr>
            </w:pPr>
            <w:r>
              <w:rPr>
                <w:sz w:val="18"/>
              </w:rPr>
              <w:t>ND</w:t>
            </w:r>
            <w:r w:rsidR="003D405E">
              <w:rPr>
                <w:sz w:val="18"/>
              </w:rPr>
              <w:t xml:space="preserve"> - </w:t>
            </w:r>
            <w:r w:rsidR="006C07B5">
              <w:rPr>
                <w:sz w:val="18"/>
              </w:rPr>
              <w:t>32</w:t>
            </w:r>
          </w:p>
        </w:tc>
        <w:tc>
          <w:tcPr>
            <w:tcW w:w="900" w:type="dxa"/>
            <w:gridSpan w:val="3"/>
            <w:tcBorders>
              <w:top w:val="nil"/>
            </w:tcBorders>
            <w:vAlign w:val="center"/>
          </w:tcPr>
          <w:p w14:paraId="5BF0662E" w14:textId="72524EE2" w:rsidR="00E94042" w:rsidRDefault="00E94042" w:rsidP="00E94042">
            <w:pPr>
              <w:jc w:val="center"/>
              <w:rPr>
                <w:sz w:val="18"/>
              </w:rPr>
            </w:pPr>
            <w:r>
              <w:rPr>
                <w:sz w:val="18"/>
              </w:rPr>
              <w:t>10</w:t>
            </w:r>
          </w:p>
        </w:tc>
        <w:tc>
          <w:tcPr>
            <w:tcW w:w="900" w:type="dxa"/>
            <w:tcBorders>
              <w:top w:val="nil"/>
            </w:tcBorders>
            <w:vAlign w:val="center"/>
          </w:tcPr>
          <w:p w14:paraId="308CE55A" w14:textId="5AA91CC6" w:rsidR="00E94042" w:rsidRDefault="00E94042" w:rsidP="00E94042">
            <w:pPr>
              <w:jc w:val="center"/>
              <w:rPr>
                <w:sz w:val="18"/>
              </w:rPr>
            </w:pPr>
            <w:r>
              <w:rPr>
                <w:sz w:val="18"/>
              </w:rPr>
              <w:t>0.1</w:t>
            </w:r>
          </w:p>
        </w:tc>
        <w:tc>
          <w:tcPr>
            <w:tcW w:w="3464" w:type="dxa"/>
            <w:tcBorders>
              <w:top w:val="nil"/>
              <w:right w:val="single" w:sz="6" w:space="0" w:color="auto"/>
            </w:tcBorders>
            <w:vAlign w:val="center"/>
          </w:tcPr>
          <w:p w14:paraId="28478417" w14:textId="24C1CEB1" w:rsidR="00E94042" w:rsidRDefault="00E94042" w:rsidP="00E94042">
            <w:pPr>
              <w:jc w:val="center"/>
              <w:rPr>
                <w:sz w:val="18"/>
              </w:rPr>
            </w:pPr>
            <w:r w:rsidRPr="00694C89">
              <w:rPr>
                <w:sz w:val="18"/>
              </w:rPr>
              <w:t>Byproduct of drinking water disinfection</w:t>
            </w:r>
          </w:p>
        </w:tc>
      </w:tr>
      <w:tr w:rsidR="00E94042"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0D8DC6EC" w:rsidR="00E94042" w:rsidRPr="00F41F91" w:rsidRDefault="00E94042" w:rsidP="00E94042">
            <w:pPr>
              <w:ind w:left="180"/>
              <w:jc w:val="center"/>
              <w:rPr>
                <w:sz w:val="18"/>
              </w:rPr>
            </w:pPr>
            <w:r>
              <w:rPr>
                <w:sz w:val="18"/>
              </w:rPr>
              <w:t>Fluoride (ppm)</w:t>
            </w:r>
          </w:p>
        </w:tc>
        <w:tc>
          <w:tcPr>
            <w:tcW w:w="900" w:type="dxa"/>
            <w:gridSpan w:val="2"/>
            <w:tcBorders>
              <w:top w:val="nil"/>
            </w:tcBorders>
            <w:vAlign w:val="center"/>
          </w:tcPr>
          <w:p w14:paraId="0280631C" w14:textId="24A13DC6" w:rsidR="00E94042" w:rsidRPr="00F41F91" w:rsidRDefault="008A002C" w:rsidP="00E94042">
            <w:pPr>
              <w:jc w:val="center"/>
              <w:rPr>
                <w:sz w:val="18"/>
              </w:rPr>
            </w:pPr>
            <w:r>
              <w:rPr>
                <w:sz w:val="18"/>
              </w:rPr>
              <w:t>2/2016</w:t>
            </w:r>
          </w:p>
        </w:tc>
        <w:tc>
          <w:tcPr>
            <w:tcW w:w="1170" w:type="dxa"/>
            <w:gridSpan w:val="3"/>
            <w:tcBorders>
              <w:top w:val="nil"/>
            </w:tcBorders>
            <w:vAlign w:val="center"/>
          </w:tcPr>
          <w:p w14:paraId="1266E771" w14:textId="369F70D6" w:rsidR="00E94042" w:rsidRPr="00F41F91" w:rsidRDefault="00E94042" w:rsidP="00E94042">
            <w:pPr>
              <w:jc w:val="center"/>
              <w:rPr>
                <w:sz w:val="18"/>
              </w:rPr>
            </w:pPr>
            <w:r>
              <w:rPr>
                <w:sz w:val="18"/>
              </w:rPr>
              <w:t>0.3</w:t>
            </w:r>
            <w:r w:rsidR="008A002C">
              <w:rPr>
                <w:sz w:val="18"/>
              </w:rPr>
              <w:t>4</w:t>
            </w:r>
          </w:p>
        </w:tc>
        <w:tc>
          <w:tcPr>
            <w:tcW w:w="990" w:type="dxa"/>
            <w:gridSpan w:val="4"/>
            <w:tcBorders>
              <w:top w:val="nil"/>
            </w:tcBorders>
            <w:vAlign w:val="center"/>
          </w:tcPr>
          <w:p w14:paraId="10C98B5C" w14:textId="4A80B865" w:rsidR="00E94042" w:rsidRPr="00F41F91" w:rsidRDefault="00E94042" w:rsidP="00E94042">
            <w:pPr>
              <w:jc w:val="center"/>
              <w:rPr>
                <w:sz w:val="18"/>
              </w:rPr>
            </w:pPr>
            <w:r w:rsidRPr="00F754E7">
              <w:rPr>
                <w:sz w:val="18"/>
              </w:rPr>
              <w:t>N/A</w:t>
            </w:r>
          </w:p>
        </w:tc>
        <w:tc>
          <w:tcPr>
            <w:tcW w:w="900" w:type="dxa"/>
            <w:gridSpan w:val="3"/>
            <w:tcBorders>
              <w:top w:val="nil"/>
            </w:tcBorders>
            <w:vAlign w:val="center"/>
          </w:tcPr>
          <w:p w14:paraId="1EF40078" w14:textId="4454BDA4" w:rsidR="00E94042" w:rsidRPr="00F41F91" w:rsidRDefault="00E94042" w:rsidP="00E94042">
            <w:pPr>
              <w:jc w:val="center"/>
              <w:rPr>
                <w:sz w:val="18"/>
              </w:rPr>
            </w:pPr>
            <w:r>
              <w:rPr>
                <w:sz w:val="18"/>
              </w:rPr>
              <w:t>2</w:t>
            </w:r>
          </w:p>
        </w:tc>
        <w:tc>
          <w:tcPr>
            <w:tcW w:w="900" w:type="dxa"/>
            <w:tcBorders>
              <w:top w:val="nil"/>
            </w:tcBorders>
            <w:vAlign w:val="center"/>
          </w:tcPr>
          <w:p w14:paraId="11C2D057" w14:textId="353CB90C" w:rsidR="00E94042" w:rsidRPr="00F41F91" w:rsidRDefault="00E94042" w:rsidP="00E94042">
            <w:pPr>
              <w:jc w:val="center"/>
              <w:rPr>
                <w:sz w:val="18"/>
              </w:rPr>
            </w:pPr>
            <w:r>
              <w:rPr>
                <w:sz w:val="18"/>
              </w:rPr>
              <w:t>1</w:t>
            </w:r>
          </w:p>
        </w:tc>
        <w:tc>
          <w:tcPr>
            <w:tcW w:w="3464" w:type="dxa"/>
            <w:tcBorders>
              <w:top w:val="nil"/>
              <w:right w:val="single" w:sz="6" w:space="0" w:color="auto"/>
            </w:tcBorders>
            <w:vAlign w:val="center"/>
          </w:tcPr>
          <w:p w14:paraId="79BF5DC9" w14:textId="1D23ABEC" w:rsidR="00E94042" w:rsidRPr="00F41F91" w:rsidRDefault="00E94042" w:rsidP="00E94042">
            <w:pPr>
              <w:jc w:val="center"/>
              <w:rPr>
                <w:sz w:val="18"/>
              </w:rPr>
            </w:pPr>
            <w:r>
              <w:rPr>
                <w:sz w:val="18"/>
              </w:rPr>
              <w:t>Erosion of natural deposits; runoff from orchards; glass and electronic production wastes</w:t>
            </w:r>
          </w:p>
        </w:tc>
      </w:tr>
      <w:tr w:rsidR="00E94042"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E94042" w:rsidRPr="00F41F91" w:rsidRDefault="00E94042" w:rsidP="00E94042">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94042"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E94042" w:rsidRPr="00F41F91" w:rsidRDefault="00E94042" w:rsidP="00E94042">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E94042" w:rsidRPr="00F41F91" w:rsidRDefault="00E94042" w:rsidP="00E94042">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E94042" w:rsidRPr="00F41F91" w:rsidRDefault="00E94042" w:rsidP="00E94042">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E94042" w:rsidRPr="00F41F91" w:rsidRDefault="00E94042" w:rsidP="00E94042">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E94042" w:rsidRPr="00F41F91" w:rsidRDefault="00E94042" w:rsidP="00E94042">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E94042" w:rsidRPr="00F41F91" w:rsidRDefault="00E94042" w:rsidP="00E94042">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E94042"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E94042" w:rsidRPr="00F41F91" w:rsidRDefault="00E94042" w:rsidP="00E94042">
            <w:pPr>
              <w:jc w:val="center"/>
              <w:rPr>
                <w:sz w:val="18"/>
              </w:rPr>
            </w:pPr>
            <w:r>
              <w:rPr>
                <w:sz w:val="18"/>
              </w:rPr>
              <w:t>Chloride (ppm)</w:t>
            </w:r>
          </w:p>
        </w:tc>
        <w:tc>
          <w:tcPr>
            <w:tcW w:w="990" w:type="dxa"/>
            <w:gridSpan w:val="3"/>
            <w:vAlign w:val="center"/>
          </w:tcPr>
          <w:p w14:paraId="7B53609D" w14:textId="2F6551A1" w:rsidR="00E94042" w:rsidRPr="00F41F91" w:rsidRDefault="00E94042" w:rsidP="00E94042">
            <w:pPr>
              <w:jc w:val="center"/>
              <w:rPr>
                <w:sz w:val="18"/>
              </w:rPr>
            </w:pPr>
            <w:r>
              <w:rPr>
                <w:sz w:val="18"/>
              </w:rPr>
              <w:t>1/202</w:t>
            </w:r>
            <w:r w:rsidR="00444F47">
              <w:rPr>
                <w:sz w:val="18"/>
              </w:rPr>
              <w:t>3</w:t>
            </w:r>
          </w:p>
        </w:tc>
        <w:tc>
          <w:tcPr>
            <w:tcW w:w="836" w:type="dxa"/>
            <w:gridSpan w:val="2"/>
            <w:vAlign w:val="center"/>
          </w:tcPr>
          <w:p w14:paraId="48AE5CBF" w14:textId="49C52439" w:rsidR="00E94042" w:rsidRPr="00F41F91" w:rsidRDefault="00444F47" w:rsidP="00E94042">
            <w:pPr>
              <w:jc w:val="center"/>
              <w:rPr>
                <w:sz w:val="18"/>
              </w:rPr>
            </w:pPr>
            <w:r>
              <w:rPr>
                <w:sz w:val="18"/>
              </w:rPr>
              <w:t>100</w:t>
            </w:r>
          </w:p>
        </w:tc>
        <w:tc>
          <w:tcPr>
            <w:tcW w:w="964" w:type="dxa"/>
            <w:gridSpan w:val="3"/>
            <w:vAlign w:val="center"/>
          </w:tcPr>
          <w:p w14:paraId="6428F303" w14:textId="4044586C" w:rsidR="00E94042" w:rsidRPr="00F41F91" w:rsidRDefault="00E94042" w:rsidP="00E94042">
            <w:pPr>
              <w:jc w:val="center"/>
              <w:rPr>
                <w:sz w:val="18"/>
              </w:rPr>
            </w:pPr>
            <w:r w:rsidRPr="00EF1A3A">
              <w:rPr>
                <w:sz w:val="18"/>
              </w:rPr>
              <w:t>N/A</w:t>
            </w:r>
          </w:p>
        </w:tc>
        <w:tc>
          <w:tcPr>
            <w:tcW w:w="810" w:type="dxa"/>
            <w:gridSpan w:val="2"/>
            <w:vAlign w:val="center"/>
          </w:tcPr>
          <w:p w14:paraId="11FF9BF3" w14:textId="7519A326" w:rsidR="00E94042" w:rsidRPr="00F41F91" w:rsidRDefault="00E94042" w:rsidP="00E94042">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E94042" w:rsidRPr="00F41F91" w:rsidRDefault="00E94042" w:rsidP="00E94042">
            <w:pPr>
              <w:jc w:val="center"/>
              <w:rPr>
                <w:sz w:val="18"/>
              </w:rPr>
            </w:pPr>
            <w:r w:rsidRPr="00F96064">
              <w:rPr>
                <w:sz w:val="18"/>
              </w:rPr>
              <w:t>Runoff/leaching from natural deposits; seawater influence</w:t>
            </w:r>
          </w:p>
        </w:tc>
      </w:tr>
      <w:tr w:rsidR="00E94042" w:rsidRPr="001F3468" w14:paraId="4CB93093" w14:textId="77777777" w:rsidTr="00F96064">
        <w:trPr>
          <w:trHeight w:val="87"/>
          <w:jc w:val="center"/>
        </w:trPr>
        <w:tc>
          <w:tcPr>
            <w:tcW w:w="2782" w:type="dxa"/>
            <w:gridSpan w:val="3"/>
            <w:tcBorders>
              <w:left w:val="single" w:sz="6" w:space="0" w:color="auto"/>
            </w:tcBorders>
            <w:vAlign w:val="center"/>
          </w:tcPr>
          <w:p w14:paraId="7F8B5A47" w14:textId="7C162530" w:rsidR="00E94042" w:rsidRPr="00444F47" w:rsidRDefault="00E94042" w:rsidP="00E94042">
            <w:pPr>
              <w:jc w:val="center"/>
              <w:rPr>
                <w:b/>
                <w:bCs/>
                <w:sz w:val="18"/>
              </w:rPr>
            </w:pPr>
            <w:r w:rsidRPr="00444F47">
              <w:rPr>
                <w:b/>
                <w:bCs/>
                <w:sz w:val="18"/>
              </w:rPr>
              <w:t>Iron (ppb)*</w:t>
            </w:r>
          </w:p>
          <w:p w14:paraId="7DA6545C" w14:textId="1F06B4AA" w:rsidR="00E94042" w:rsidRPr="00444F47" w:rsidRDefault="00E94042" w:rsidP="00E94042">
            <w:pPr>
              <w:jc w:val="center"/>
              <w:rPr>
                <w:b/>
                <w:bCs/>
                <w:sz w:val="18"/>
              </w:rPr>
            </w:pPr>
            <w:r w:rsidRPr="00444F47">
              <w:rPr>
                <w:b/>
                <w:bCs/>
                <w:sz w:val="18"/>
              </w:rPr>
              <w:t>*Post Treatment*</w:t>
            </w:r>
          </w:p>
        </w:tc>
        <w:tc>
          <w:tcPr>
            <w:tcW w:w="990" w:type="dxa"/>
            <w:gridSpan w:val="3"/>
            <w:vAlign w:val="center"/>
          </w:tcPr>
          <w:p w14:paraId="4F7657DC" w14:textId="77777777" w:rsidR="00E94042" w:rsidRPr="00444F47" w:rsidRDefault="00E94042" w:rsidP="00E94042">
            <w:pPr>
              <w:jc w:val="center"/>
              <w:rPr>
                <w:b/>
                <w:bCs/>
                <w:sz w:val="18"/>
              </w:rPr>
            </w:pPr>
            <w:r w:rsidRPr="00444F47">
              <w:rPr>
                <w:b/>
                <w:bCs/>
                <w:sz w:val="18"/>
              </w:rPr>
              <w:t>Quarterly</w:t>
            </w:r>
          </w:p>
          <w:p w14:paraId="70FF5BA2" w14:textId="4CA6D5D9" w:rsidR="00E94042" w:rsidRPr="00444F47" w:rsidRDefault="00E94042" w:rsidP="00E94042">
            <w:pPr>
              <w:jc w:val="center"/>
              <w:rPr>
                <w:b/>
                <w:bCs/>
                <w:sz w:val="18"/>
              </w:rPr>
            </w:pPr>
            <w:r w:rsidRPr="00444F47">
              <w:rPr>
                <w:b/>
                <w:bCs/>
                <w:sz w:val="18"/>
              </w:rPr>
              <w:t>202</w:t>
            </w:r>
            <w:r w:rsidR="00444F47" w:rsidRPr="00444F47">
              <w:rPr>
                <w:b/>
                <w:bCs/>
                <w:sz w:val="18"/>
              </w:rPr>
              <w:t>3</w:t>
            </w:r>
          </w:p>
        </w:tc>
        <w:tc>
          <w:tcPr>
            <w:tcW w:w="836" w:type="dxa"/>
            <w:gridSpan w:val="2"/>
            <w:vAlign w:val="center"/>
          </w:tcPr>
          <w:p w14:paraId="0F6B4CC4" w14:textId="09E58892" w:rsidR="00E94042" w:rsidRPr="00444F47" w:rsidRDefault="00444F47" w:rsidP="00E94042">
            <w:pPr>
              <w:jc w:val="center"/>
              <w:rPr>
                <w:b/>
                <w:bCs/>
                <w:sz w:val="18"/>
              </w:rPr>
            </w:pPr>
            <w:r w:rsidRPr="00444F47">
              <w:rPr>
                <w:b/>
                <w:bCs/>
                <w:sz w:val="18"/>
              </w:rPr>
              <w:t>1547</w:t>
            </w:r>
            <w:r w:rsidR="00E94042" w:rsidRPr="00444F47">
              <w:rPr>
                <w:b/>
                <w:bCs/>
                <w:sz w:val="18"/>
              </w:rPr>
              <w:t>*</w:t>
            </w:r>
          </w:p>
        </w:tc>
        <w:tc>
          <w:tcPr>
            <w:tcW w:w="964" w:type="dxa"/>
            <w:gridSpan w:val="3"/>
            <w:vAlign w:val="center"/>
          </w:tcPr>
          <w:p w14:paraId="226CB8DF" w14:textId="249A5F2F" w:rsidR="00E94042" w:rsidRPr="00444F47" w:rsidRDefault="006C07B5" w:rsidP="00E94042">
            <w:pPr>
              <w:jc w:val="center"/>
              <w:rPr>
                <w:b/>
                <w:bCs/>
                <w:sz w:val="18"/>
              </w:rPr>
            </w:pPr>
            <w:r>
              <w:rPr>
                <w:b/>
                <w:bCs/>
                <w:sz w:val="18"/>
              </w:rPr>
              <w:t>24 - 4290</w:t>
            </w:r>
          </w:p>
        </w:tc>
        <w:tc>
          <w:tcPr>
            <w:tcW w:w="810" w:type="dxa"/>
            <w:gridSpan w:val="2"/>
            <w:vAlign w:val="center"/>
          </w:tcPr>
          <w:p w14:paraId="3FFD094B" w14:textId="7B3D6816" w:rsidR="00E94042" w:rsidRPr="00444F47" w:rsidRDefault="00E94042" w:rsidP="00E94042">
            <w:pPr>
              <w:jc w:val="center"/>
              <w:rPr>
                <w:b/>
                <w:bCs/>
                <w:sz w:val="18"/>
              </w:rPr>
            </w:pPr>
            <w:r w:rsidRPr="00444F47">
              <w:rPr>
                <w:b/>
                <w:bCs/>
                <w:sz w:val="18"/>
              </w:rPr>
              <w:t>300</w:t>
            </w:r>
          </w:p>
        </w:tc>
        <w:tc>
          <w:tcPr>
            <w:tcW w:w="4500" w:type="dxa"/>
            <w:gridSpan w:val="4"/>
            <w:tcBorders>
              <w:right w:val="single" w:sz="6" w:space="0" w:color="auto"/>
            </w:tcBorders>
            <w:vAlign w:val="center"/>
          </w:tcPr>
          <w:p w14:paraId="695A6A9E" w14:textId="08CA8110" w:rsidR="00E94042" w:rsidRPr="00444F47" w:rsidRDefault="00E94042" w:rsidP="00E94042">
            <w:pPr>
              <w:jc w:val="center"/>
              <w:rPr>
                <w:b/>
                <w:bCs/>
                <w:sz w:val="18"/>
              </w:rPr>
            </w:pPr>
            <w:r w:rsidRPr="00444F47">
              <w:rPr>
                <w:b/>
                <w:bCs/>
                <w:sz w:val="18"/>
              </w:rPr>
              <w:t>Leaching from natural deposits; industrial wastes</w:t>
            </w:r>
          </w:p>
        </w:tc>
      </w:tr>
      <w:tr w:rsidR="00E94042" w:rsidRPr="001F3468" w14:paraId="3150A8B7" w14:textId="77777777" w:rsidTr="00F96064">
        <w:trPr>
          <w:trHeight w:val="87"/>
          <w:jc w:val="center"/>
        </w:trPr>
        <w:tc>
          <w:tcPr>
            <w:tcW w:w="2782" w:type="dxa"/>
            <w:gridSpan w:val="3"/>
            <w:tcBorders>
              <w:left w:val="single" w:sz="6" w:space="0" w:color="auto"/>
            </w:tcBorders>
            <w:vAlign w:val="center"/>
          </w:tcPr>
          <w:p w14:paraId="3E56F160" w14:textId="0A16F943" w:rsidR="00E94042" w:rsidRPr="001446B8" w:rsidRDefault="00E94042" w:rsidP="00E94042">
            <w:pPr>
              <w:jc w:val="center"/>
              <w:rPr>
                <w:b/>
                <w:bCs/>
                <w:sz w:val="18"/>
              </w:rPr>
            </w:pPr>
            <w:r w:rsidRPr="001446B8">
              <w:rPr>
                <w:b/>
                <w:bCs/>
                <w:sz w:val="18"/>
              </w:rPr>
              <w:t>Manganese (ppb)*</w:t>
            </w:r>
          </w:p>
          <w:p w14:paraId="6CF73083" w14:textId="3EB2D5D6" w:rsidR="00E94042" w:rsidRPr="001446B8" w:rsidRDefault="00E94042" w:rsidP="00E94042">
            <w:pPr>
              <w:jc w:val="center"/>
              <w:rPr>
                <w:b/>
                <w:bCs/>
                <w:sz w:val="18"/>
              </w:rPr>
            </w:pPr>
            <w:r w:rsidRPr="001446B8">
              <w:rPr>
                <w:b/>
                <w:bCs/>
                <w:sz w:val="18"/>
              </w:rPr>
              <w:t>*Post Treatment*</w:t>
            </w:r>
          </w:p>
        </w:tc>
        <w:tc>
          <w:tcPr>
            <w:tcW w:w="990" w:type="dxa"/>
            <w:gridSpan w:val="3"/>
            <w:vAlign w:val="center"/>
          </w:tcPr>
          <w:p w14:paraId="0A31F2B7" w14:textId="77777777" w:rsidR="00E94042" w:rsidRPr="001446B8" w:rsidRDefault="00E94042" w:rsidP="00E94042">
            <w:pPr>
              <w:jc w:val="center"/>
              <w:rPr>
                <w:b/>
                <w:bCs/>
                <w:sz w:val="18"/>
              </w:rPr>
            </w:pPr>
            <w:r w:rsidRPr="001446B8">
              <w:rPr>
                <w:b/>
                <w:bCs/>
                <w:sz w:val="18"/>
              </w:rPr>
              <w:t>Quarterly</w:t>
            </w:r>
          </w:p>
          <w:p w14:paraId="620CFC23" w14:textId="1DCADB3C" w:rsidR="00E94042" w:rsidRPr="001446B8" w:rsidRDefault="00E94042" w:rsidP="00E94042">
            <w:pPr>
              <w:jc w:val="center"/>
              <w:rPr>
                <w:b/>
                <w:bCs/>
                <w:sz w:val="18"/>
              </w:rPr>
            </w:pPr>
            <w:r w:rsidRPr="001446B8">
              <w:rPr>
                <w:b/>
                <w:bCs/>
                <w:sz w:val="18"/>
              </w:rPr>
              <w:t>202</w:t>
            </w:r>
            <w:r w:rsidR="001446B8" w:rsidRPr="001446B8">
              <w:rPr>
                <w:b/>
                <w:bCs/>
                <w:sz w:val="18"/>
              </w:rPr>
              <w:t>3</w:t>
            </w:r>
          </w:p>
        </w:tc>
        <w:tc>
          <w:tcPr>
            <w:tcW w:w="836" w:type="dxa"/>
            <w:gridSpan w:val="2"/>
            <w:vAlign w:val="center"/>
          </w:tcPr>
          <w:p w14:paraId="2731AFF2" w14:textId="23E1E009" w:rsidR="00E94042" w:rsidRPr="001446B8" w:rsidRDefault="00FE557C" w:rsidP="00E94042">
            <w:pPr>
              <w:jc w:val="center"/>
              <w:rPr>
                <w:b/>
                <w:bCs/>
                <w:sz w:val="18"/>
              </w:rPr>
            </w:pPr>
            <w:r>
              <w:rPr>
                <w:b/>
                <w:bCs/>
                <w:sz w:val="18"/>
              </w:rPr>
              <w:t>157</w:t>
            </w:r>
            <w:r w:rsidR="00E94042" w:rsidRPr="001446B8">
              <w:rPr>
                <w:b/>
                <w:bCs/>
                <w:sz w:val="18"/>
              </w:rPr>
              <w:t>*</w:t>
            </w:r>
          </w:p>
        </w:tc>
        <w:tc>
          <w:tcPr>
            <w:tcW w:w="964" w:type="dxa"/>
            <w:gridSpan w:val="3"/>
            <w:vAlign w:val="center"/>
          </w:tcPr>
          <w:p w14:paraId="3837999A" w14:textId="700D049B" w:rsidR="00E94042" w:rsidRPr="001446B8" w:rsidRDefault="00383C7B" w:rsidP="00E94042">
            <w:pPr>
              <w:jc w:val="center"/>
              <w:rPr>
                <w:b/>
                <w:bCs/>
                <w:sz w:val="18"/>
              </w:rPr>
            </w:pPr>
            <w:r>
              <w:rPr>
                <w:b/>
                <w:bCs/>
                <w:sz w:val="18"/>
              </w:rPr>
              <w:t>ND</w:t>
            </w:r>
            <w:r w:rsidR="006C07B5">
              <w:rPr>
                <w:b/>
                <w:bCs/>
                <w:sz w:val="18"/>
              </w:rPr>
              <w:t xml:space="preserve"> - 399</w:t>
            </w:r>
          </w:p>
        </w:tc>
        <w:tc>
          <w:tcPr>
            <w:tcW w:w="810" w:type="dxa"/>
            <w:gridSpan w:val="2"/>
            <w:vAlign w:val="center"/>
          </w:tcPr>
          <w:p w14:paraId="480C75BF" w14:textId="1E71D02B" w:rsidR="00E94042" w:rsidRPr="001446B8" w:rsidRDefault="00E94042" w:rsidP="00E94042">
            <w:pPr>
              <w:jc w:val="center"/>
              <w:rPr>
                <w:b/>
                <w:bCs/>
                <w:sz w:val="18"/>
              </w:rPr>
            </w:pPr>
            <w:r w:rsidRPr="001446B8">
              <w:rPr>
                <w:b/>
                <w:bCs/>
                <w:sz w:val="18"/>
              </w:rPr>
              <w:t>50</w:t>
            </w:r>
          </w:p>
        </w:tc>
        <w:tc>
          <w:tcPr>
            <w:tcW w:w="4500" w:type="dxa"/>
            <w:gridSpan w:val="4"/>
            <w:tcBorders>
              <w:right w:val="single" w:sz="6" w:space="0" w:color="auto"/>
            </w:tcBorders>
            <w:vAlign w:val="center"/>
          </w:tcPr>
          <w:p w14:paraId="210E0132" w14:textId="1DAE61C9" w:rsidR="00E94042" w:rsidRPr="001446B8" w:rsidRDefault="00E94042" w:rsidP="00E94042">
            <w:pPr>
              <w:jc w:val="center"/>
              <w:rPr>
                <w:b/>
                <w:bCs/>
                <w:sz w:val="18"/>
              </w:rPr>
            </w:pPr>
            <w:r w:rsidRPr="001446B8">
              <w:rPr>
                <w:b/>
                <w:bCs/>
                <w:sz w:val="18"/>
              </w:rPr>
              <w:t>Leaching from natural deposits</w:t>
            </w:r>
          </w:p>
        </w:tc>
      </w:tr>
      <w:tr w:rsidR="00E94042"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E94042" w:rsidRPr="00F41F91" w:rsidRDefault="00E94042" w:rsidP="00E94042">
            <w:pPr>
              <w:jc w:val="center"/>
              <w:rPr>
                <w:sz w:val="18"/>
              </w:rPr>
            </w:pPr>
            <w:r>
              <w:rPr>
                <w:sz w:val="18"/>
              </w:rPr>
              <w:t>Specific Conductance (µS/cm)</w:t>
            </w:r>
          </w:p>
        </w:tc>
        <w:tc>
          <w:tcPr>
            <w:tcW w:w="990" w:type="dxa"/>
            <w:gridSpan w:val="3"/>
            <w:vAlign w:val="center"/>
          </w:tcPr>
          <w:p w14:paraId="3EAB9B02" w14:textId="58CBA540" w:rsidR="00E94042" w:rsidRPr="00F41F91" w:rsidRDefault="00A6342D" w:rsidP="00E94042">
            <w:pPr>
              <w:jc w:val="center"/>
              <w:rPr>
                <w:sz w:val="18"/>
              </w:rPr>
            </w:pPr>
            <w:r>
              <w:rPr>
                <w:sz w:val="18"/>
              </w:rPr>
              <w:t>5</w:t>
            </w:r>
            <w:r w:rsidR="008A002C">
              <w:rPr>
                <w:sz w:val="18"/>
              </w:rPr>
              <w:t>/2017</w:t>
            </w:r>
          </w:p>
        </w:tc>
        <w:tc>
          <w:tcPr>
            <w:tcW w:w="836" w:type="dxa"/>
            <w:gridSpan w:val="2"/>
            <w:vAlign w:val="center"/>
          </w:tcPr>
          <w:p w14:paraId="58666AED" w14:textId="496F6093" w:rsidR="00E94042" w:rsidRPr="00F41F91" w:rsidRDefault="00E94042" w:rsidP="00E94042">
            <w:pPr>
              <w:jc w:val="center"/>
              <w:rPr>
                <w:sz w:val="18"/>
              </w:rPr>
            </w:pPr>
            <w:r>
              <w:rPr>
                <w:sz w:val="18"/>
              </w:rPr>
              <w:t>65</w:t>
            </w:r>
            <w:r w:rsidR="009D23A4">
              <w:rPr>
                <w:sz w:val="18"/>
              </w:rPr>
              <w:t>0</w:t>
            </w:r>
          </w:p>
        </w:tc>
        <w:tc>
          <w:tcPr>
            <w:tcW w:w="964" w:type="dxa"/>
            <w:gridSpan w:val="3"/>
            <w:vAlign w:val="center"/>
          </w:tcPr>
          <w:p w14:paraId="6C20DFB6" w14:textId="304872C4" w:rsidR="00E94042" w:rsidRPr="00F41F91" w:rsidRDefault="00E94042" w:rsidP="00E94042">
            <w:pPr>
              <w:jc w:val="center"/>
              <w:rPr>
                <w:sz w:val="18"/>
              </w:rPr>
            </w:pPr>
            <w:r w:rsidRPr="00EF1A3A">
              <w:rPr>
                <w:sz w:val="18"/>
              </w:rPr>
              <w:t>N/A</w:t>
            </w:r>
          </w:p>
        </w:tc>
        <w:tc>
          <w:tcPr>
            <w:tcW w:w="810" w:type="dxa"/>
            <w:gridSpan w:val="2"/>
            <w:vAlign w:val="center"/>
          </w:tcPr>
          <w:p w14:paraId="44332C3F" w14:textId="10B7147F" w:rsidR="00E94042" w:rsidRPr="00F41F91" w:rsidRDefault="00E94042" w:rsidP="00E94042">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E94042" w:rsidRPr="00F96064" w:rsidRDefault="00E94042" w:rsidP="00E94042">
            <w:pPr>
              <w:jc w:val="center"/>
              <w:rPr>
                <w:sz w:val="17"/>
                <w:szCs w:val="17"/>
              </w:rPr>
            </w:pPr>
            <w:r w:rsidRPr="00F96064">
              <w:rPr>
                <w:sz w:val="17"/>
                <w:szCs w:val="17"/>
              </w:rPr>
              <w:t>Substances that form ions when in water; seawater influence</w:t>
            </w:r>
          </w:p>
        </w:tc>
      </w:tr>
      <w:tr w:rsidR="00E94042"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E94042" w:rsidRPr="00F41F91" w:rsidRDefault="00E94042" w:rsidP="00E94042">
            <w:pPr>
              <w:jc w:val="center"/>
              <w:rPr>
                <w:sz w:val="18"/>
              </w:rPr>
            </w:pPr>
            <w:r>
              <w:rPr>
                <w:sz w:val="18"/>
              </w:rPr>
              <w:t>Total Dissolved Solids (ppm)</w:t>
            </w:r>
          </w:p>
        </w:tc>
        <w:tc>
          <w:tcPr>
            <w:tcW w:w="990" w:type="dxa"/>
            <w:gridSpan w:val="3"/>
            <w:vAlign w:val="center"/>
          </w:tcPr>
          <w:p w14:paraId="4C76B3D9" w14:textId="6BD3DD14" w:rsidR="00E94042" w:rsidRPr="00F41F91" w:rsidRDefault="00E94042" w:rsidP="00E94042">
            <w:pPr>
              <w:jc w:val="center"/>
              <w:rPr>
                <w:sz w:val="18"/>
              </w:rPr>
            </w:pPr>
            <w:r>
              <w:rPr>
                <w:sz w:val="18"/>
              </w:rPr>
              <w:t>1/202</w:t>
            </w:r>
            <w:r w:rsidR="008851FF">
              <w:rPr>
                <w:sz w:val="18"/>
              </w:rPr>
              <w:t>3</w:t>
            </w:r>
          </w:p>
        </w:tc>
        <w:tc>
          <w:tcPr>
            <w:tcW w:w="836" w:type="dxa"/>
            <w:gridSpan w:val="2"/>
            <w:vAlign w:val="center"/>
          </w:tcPr>
          <w:p w14:paraId="00DE56B1" w14:textId="0F77009F" w:rsidR="00E94042" w:rsidRPr="00F41F91" w:rsidRDefault="00E94042" w:rsidP="00E94042">
            <w:pPr>
              <w:jc w:val="center"/>
              <w:rPr>
                <w:sz w:val="18"/>
              </w:rPr>
            </w:pPr>
            <w:r>
              <w:rPr>
                <w:sz w:val="18"/>
              </w:rPr>
              <w:t>4</w:t>
            </w:r>
            <w:r w:rsidR="008851FF">
              <w:rPr>
                <w:sz w:val="18"/>
              </w:rPr>
              <w:t>10</w:t>
            </w:r>
          </w:p>
        </w:tc>
        <w:tc>
          <w:tcPr>
            <w:tcW w:w="964" w:type="dxa"/>
            <w:gridSpan w:val="3"/>
            <w:vAlign w:val="center"/>
          </w:tcPr>
          <w:p w14:paraId="6CB06305" w14:textId="2F937DEE" w:rsidR="00E94042" w:rsidRPr="00F41F91" w:rsidRDefault="00E94042" w:rsidP="00E94042">
            <w:pPr>
              <w:jc w:val="center"/>
              <w:rPr>
                <w:sz w:val="18"/>
              </w:rPr>
            </w:pPr>
            <w:r w:rsidRPr="00EF1A3A">
              <w:rPr>
                <w:sz w:val="18"/>
              </w:rPr>
              <w:t>N/A</w:t>
            </w:r>
          </w:p>
        </w:tc>
        <w:tc>
          <w:tcPr>
            <w:tcW w:w="810" w:type="dxa"/>
            <w:gridSpan w:val="2"/>
            <w:vAlign w:val="center"/>
          </w:tcPr>
          <w:p w14:paraId="45D3A2CA" w14:textId="617435C2" w:rsidR="00E94042" w:rsidRPr="00F41F91" w:rsidRDefault="00E94042" w:rsidP="00E94042">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E94042" w:rsidRPr="00F41F91" w:rsidRDefault="00E94042" w:rsidP="00E94042">
            <w:pPr>
              <w:jc w:val="center"/>
              <w:rPr>
                <w:sz w:val="18"/>
              </w:rPr>
            </w:pPr>
            <w:r w:rsidRPr="00F96064">
              <w:rPr>
                <w:sz w:val="18"/>
              </w:rPr>
              <w:t>Runoff/leaching from natural deposits</w:t>
            </w:r>
          </w:p>
        </w:tc>
      </w:tr>
    </w:tbl>
    <w:p w14:paraId="019C278D" w14:textId="77777777" w:rsidR="00B23FD9" w:rsidRDefault="00B23FD9" w:rsidP="002C2856">
      <w:pPr>
        <w:rPr>
          <w:b/>
          <w:sz w:val="18"/>
          <w:szCs w:val="18"/>
        </w:rPr>
      </w:pPr>
    </w:p>
    <w:p w14:paraId="35A82189" w14:textId="77777777" w:rsidR="00B23FD9" w:rsidRDefault="00B23FD9" w:rsidP="002C2856">
      <w:pPr>
        <w:rPr>
          <w:b/>
          <w:sz w:val="18"/>
          <w:szCs w:val="18"/>
        </w:rPr>
      </w:pPr>
    </w:p>
    <w:p w14:paraId="0F094B8F" w14:textId="77777777" w:rsidR="002C2856" w:rsidRDefault="002C2856" w:rsidP="002C2856">
      <w:pPr>
        <w:rPr>
          <w:b/>
          <w:sz w:val="18"/>
          <w:szCs w:val="18"/>
        </w:rPr>
      </w:pPr>
    </w:p>
    <w:p w14:paraId="4AEC99A3" w14:textId="77777777" w:rsidR="00B23FD9" w:rsidRDefault="00B23FD9" w:rsidP="005A26E0">
      <w:pPr>
        <w:jc w:val="center"/>
        <w:rPr>
          <w:b/>
          <w:sz w:val="18"/>
          <w:szCs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B23FD9" w:rsidRPr="001F3468" w14:paraId="0F726301" w14:textId="77777777" w:rsidTr="008851FF">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D4AF3A9" w14:textId="77777777" w:rsidR="00B23FD9" w:rsidRPr="001F3468" w:rsidRDefault="00B23FD9" w:rsidP="002A38F0">
            <w:pPr>
              <w:spacing w:before="20" w:after="20"/>
              <w:jc w:val="center"/>
              <w:rPr>
                <w:b/>
                <w:caps/>
              </w:rPr>
            </w:pPr>
            <w:bookmarkStart w:id="0" w:name="_Hlk138761130"/>
            <w:r w:rsidRPr="001F3468">
              <w:rPr>
                <w:b/>
                <w:caps/>
              </w:rPr>
              <w:t>TAble 6 – detection of UNREGULATED CONTAMINANTS</w:t>
            </w:r>
          </w:p>
        </w:tc>
      </w:tr>
      <w:tr w:rsidR="00B23FD9" w:rsidRPr="001F3468" w14:paraId="3A1CDE04" w14:textId="77777777" w:rsidTr="008851FF">
        <w:trPr>
          <w:cantSplit/>
          <w:trHeight w:val="440"/>
          <w:jc w:val="center"/>
        </w:trPr>
        <w:tc>
          <w:tcPr>
            <w:tcW w:w="2268" w:type="dxa"/>
            <w:tcBorders>
              <w:top w:val="single" w:sz="18" w:space="0" w:color="auto"/>
              <w:left w:val="single" w:sz="6" w:space="0" w:color="auto"/>
              <w:bottom w:val="single" w:sz="18" w:space="0" w:color="auto"/>
              <w:right w:val="single" w:sz="6" w:space="0" w:color="auto"/>
            </w:tcBorders>
            <w:vAlign w:val="center"/>
          </w:tcPr>
          <w:p w14:paraId="324CD137" w14:textId="77777777" w:rsidR="00B23FD9" w:rsidRPr="001F3468" w:rsidRDefault="00B23FD9" w:rsidP="002A38F0">
            <w:pPr>
              <w:spacing w:before="40" w:after="40"/>
              <w:jc w:val="center"/>
              <w:rPr>
                <w:b/>
                <w:sz w:val="18"/>
                <w:szCs w:val="18"/>
              </w:rPr>
            </w:pPr>
            <w:r w:rsidRPr="001F3468">
              <w:rPr>
                <w:b/>
                <w:sz w:val="18"/>
                <w:szCs w:val="18"/>
              </w:rPr>
              <w:lastRenderedPageBreak/>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single" w:sz="18" w:space="0" w:color="auto"/>
              <w:right w:val="single" w:sz="6" w:space="0" w:color="auto"/>
            </w:tcBorders>
            <w:vAlign w:val="center"/>
          </w:tcPr>
          <w:p w14:paraId="4802F921" w14:textId="77777777" w:rsidR="00B23FD9" w:rsidRPr="001F3468" w:rsidRDefault="00B23FD9" w:rsidP="002A38F0">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single" w:sz="18" w:space="0" w:color="auto"/>
              <w:right w:val="single" w:sz="6" w:space="0" w:color="auto"/>
            </w:tcBorders>
            <w:vAlign w:val="center"/>
          </w:tcPr>
          <w:p w14:paraId="351C5223" w14:textId="77777777" w:rsidR="00B23FD9" w:rsidRPr="001F3468" w:rsidRDefault="00B23FD9" w:rsidP="002A38F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single" w:sz="18" w:space="0" w:color="auto"/>
              <w:right w:val="single" w:sz="6" w:space="0" w:color="auto"/>
            </w:tcBorders>
            <w:vAlign w:val="center"/>
          </w:tcPr>
          <w:p w14:paraId="1A87D8D1" w14:textId="77777777" w:rsidR="00B23FD9" w:rsidRPr="001F3468" w:rsidRDefault="00B23FD9" w:rsidP="002A38F0">
            <w:pPr>
              <w:spacing w:before="40" w:after="40"/>
              <w:jc w:val="center"/>
              <w:rPr>
                <w:b/>
                <w:bCs/>
                <w:sz w:val="18"/>
              </w:rPr>
            </w:pPr>
            <w:smartTag w:uri="urn:schemas-microsoft-com:office:smarttags" w:element="place">
              <w:smartTag w:uri="urn:schemas-microsoft-com:office:smarttags" w:element="City">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single" w:sz="18" w:space="0" w:color="auto"/>
              <w:right w:val="single" w:sz="6" w:space="0" w:color="auto"/>
            </w:tcBorders>
            <w:vAlign w:val="center"/>
          </w:tcPr>
          <w:p w14:paraId="68958411" w14:textId="77777777" w:rsidR="00B23FD9" w:rsidRPr="001F3468" w:rsidRDefault="00B23FD9" w:rsidP="002A38F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single" w:sz="18" w:space="0" w:color="auto"/>
              <w:right w:val="single" w:sz="6" w:space="0" w:color="auto"/>
            </w:tcBorders>
            <w:vAlign w:val="center"/>
          </w:tcPr>
          <w:p w14:paraId="4AF87E94" w14:textId="77777777" w:rsidR="00B23FD9" w:rsidRPr="001F3468" w:rsidRDefault="00B23FD9" w:rsidP="002A38F0">
            <w:pPr>
              <w:spacing w:before="40" w:after="40"/>
              <w:jc w:val="center"/>
              <w:rPr>
                <w:b/>
                <w:bCs/>
                <w:sz w:val="18"/>
              </w:rPr>
            </w:pPr>
            <w:r w:rsidRPr="001F3468">
              <w:rPr>
                <w:b/>
                <w:bCs/>
                <w:sz w:val="18"/>
              </w:rPr>
              <w:t>Health Effects Language</w:t>
            </w:r>
          </w:p>
        </w:tc>
      </w:tr>
      <w:tr w:rsidR="008851FF" w:rsidRPr="001F3468" w14:paraId="0F9C87FD" w14:textId="77777777" w:rsidTr="008851FF">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6AD8B743" w14:textId="44562E28" w:rsidR="008851FF" w:rsidRPr="002C2856" w:rsidRDefault="001E7A04" w:rsidP="002A38F0">
            <w:pPr>
              <w:spacing w:before="40" w:after="40"/>
              <w:jc w:val="center"/>
              <w:rPr>
                <w:bCs/>
                <w:sz w:val="18"/>
                <w:szCs w:val="18"/>
              </w:rPr>
            </w:pPr>
            <w:r w:rsidRPr="002C2856">
              <w:rPr>
                <w:bCs/>
                <w:sz w:val="18"/>
                <w:szCs w:val="18"/>
              </w:rPr>
              <w:t>Boron (pp</w:t>
            </w:r>
            <w:r w:rsidR="002C2856">
              <w:rPr>
                <w:bCs/>
                <w:sz w:val="18"/>
                <w:szCs w:val="18"/>
              </w:rPr>
              <w:t>m</w:t>
            </w:r>
            <w:r w:rsidRPr="002C2856">
              <w:rPr>
                <w:bCs/>
                <w:sz w:val="18"/>
                <w:szCs w:val="18"/>
              </w:rPr>
              <w:t>)</w:t>
            </w:r>
          </w:p>
        </w:tc>
        <w:tc>
          <w:tcPr>
            <w:tcW w:w="990" w:type="dxa"/>
            <w:tcBorders>
              <w:top w:val="single" w:sz="18" w:space="0" w:color="auto"/>
              <w:left w:val="single" w:sz="6" w:space="0" w:color="auto"/>
              <w:bottom w:val="double" w:sz="4" w:space="0" w:color="auto"/>
              <w:right w:val="single" w:sz="6" w:space="0" w:color="auto"/>
            </w:tcBorders>
            <w:vAlign w:val="center"/>
          </w:tcPr>
          <w:p w14:paraId="16FB8266" w14:textId="638BF7C0" w:rsidR="008851FF" w:rsidRPr="002C2856" w:rsidRDefault="001E7A04" w:rsidP="002A38F0">
            <w:pPr>
              <w:spacing w:before="40" w:after="40"/>
              <w:jc w:val="center"/>
              <w:rPr>
                <w:bCs/>
                <w:sz w:val="18"/>
              </w:rPr>
            </w:pPr>
            <w:r w:rsidRPr="002C2856">
              <w:rPr>
                <w:bCs/>
                <w:sz w:val="18"/>
              </w:rPr>
              <w:t>01/2023</w:t>
            </w:r>
          </w:p>
        </w:tc>
        <w:tc>
          <w:tcPr>
            <w:tcW w:w="1350" w:type="dxa"/>
            <w:tcBorders>
              <w:top w:val="single" w:sz="18" w:space="0" w:color="auto"/>
              <w:left w:val="single" w:sz="6" w:space="0" w:color="auto"/>
              <w:bottom w:val="double" w:sz="4" w:space="0" w:color="auto"/>
              <w:right w:val="single" w:sz="6" w:space="0" w:color="auto"/>
            </w:tcBorders>
            <w:vAlign w:val="center"/>
          </w:tcPr>
          <w:p w14:paraId="49C63CAD" w14:textId="55A98F6F" w:rsidR="008851FF" w:rsidRPr="002C2856" w:rsidRDefault="002C2856" w:rsidP="002A38F0">
            <w:pPr>
              <w:spacing w:before="40" w:after="40"/>
              <w:jc w:val="center"/>
              <w:rPr>
                <w:bCs/>
                <w:sz w:val="18"/>
              </w:rPr>
            </w:pPr>
            <w:r>
              <w:rPr>
                <w:bCs/>
                <w:sz w:val="18"/>
              </w:rPr>
              <w:t>0.</w:t>
            </w:r>
            <w:r w:rsidR="001E7A04" w:rsidRPr="002C2856">
              <w:rPr>
                <w:bCs/>
                <w:sz w:val="18"/>
              </w:rPr>
              <w:t>1</w:t>
            </w:r>
          </w:p>
        </w:tc>
        <w:tc>
          <w:tcPr>
            <w:tcW w:w="1440" w:type="dxa"/>
            <w:tcBorders>
              <w:top w:val="single" w:sz="18" w:space="0" w:color="auto"/>
              <w:left w:val="single" w:sz="6" w:space="0" w:color="auto"/>
              <w:bottom w:val="double" w:sz="4" w:space="0" w:color="auto"/>
              <w:right w:val="single" w:sz="6" w:space="0" w:color="auto"/>
            </w:tcBorders>
            <w:vAlign w:val="center"/>
          </w:tcPr>
          <w:p w14:paraId="55128679" w14:textId="75A6DC62" w:rsidR="008851FF" w:rsidRPr="002C2856" w:rsidRDefault="001E7A04" w:rsidP="002A38F0">
            <w:pPr>
              <w:spacing w:before="40" w:after="40"/>
              <w:jc w:val="center"/>
              <w:rPr>
                <w:bCs/>
                <w:sz w:val="18"/>
              </w:rPr>
            </w:pPr>
            <w:r w:rsidRPr="002C2856">
              <w:rPr>
                <w:bCs/>
                <w:sz w:val="18"/>
              </w:rPr>
              <w:t>N/A</w:t>
            </w:r>
          </w:p>
        </w:tc>
        <w:tc>
          <w:tcPr>
            <w:tcW w:w="1980" w:type="dxa"/>
            <w:tcBorders>
              <w:top w:val="single" w:sz="18" w:space="0" w:color="auto"/>
              <w:left w:val="single" w:sz="6" w:space="0" w:color="auto"/>
              <w:bottom w:val="double" w:sz="4" w:space="0" w:color="auto"/>
              <w:right w:val="single" w:sz="6" w:space="0" w:color="auto"/>
            </w:tcBorders>
            <w:vAlign w:val="center"/>
          </w:tcPr>
          <w:p w14:paraId="42BDB0B1" w14:textId="1D619D61" w:rsidR="008851FF" w:rsidRPr="002C2856" w:rsidRDefault="001E7A04" w:rsidP="002A38F0">
            <w:pPr>
              <w:spacing w:before="40" w:after="40"/>
              <w:jc w:val="center"/>
              <w:rPr>
                <w:bCs/>
                <w:sz w:val="18"/>
              </w:rPr>
            </w:pPr>
            <w:r w:rsidRPr="002C2856">
              <w:rPr>
                <w:bCs/>
                <w:sz w:val="18"/>
              </w:rPr>
              <w:t>1</w:t>
            </w:r>
          </w:p>
        </w:tc>
        <w:tc>
          <w:tcPr>
            <w:tcW w:w="2808" w:type="dxa"/>
            <w:tcBorders>
              <w:top w:val="single" w:sz="18" w:space="0" w:color="auto"/>
              <w:left w:val="single" w:sz="6" w:space="0" w:color="auto"/>
              <w:bottom w:val="double" w:sz="4" w:space="0" w:color="auto"/>
              <w:right w:val="single" w:sz="6" w:space="0" w:color="auto"/>
            </w:tcBorders>
            <w:vAlign w:val="center"/>
          </w:tcPr>
          <w:p w14:paraId="02303CE3" w14:textId="02DACAE3" w:rsidR="008851FF" w:rsidRPr="002C2856" w:rsidRDefault="001E7A04" w:rsidP="002A38F0">
            <w:pPr>
              <w:spacing w:before="40" w:after="40"/>
              <w:jc w:val="center"/>
              <w:rPr>
                <w:bCs/>
                <w:sz w:val="18"/>
              </w:rPr>
            </w:pPr>
            <w:r w:rsidRPr="002C2856">
              <w:rPr>
                <w:bCs/>
                <w:sz w:val="18"/>
              </w:rPr>
              <w:t>N/A</w:t>
            </w:r>
          </w:p>
        </w:tc>
      </w:tr>
    </w:tbl>
    <w:p w14:paraId="7A3F9BEA" w14:textId="6729D736" w:rsidR="00BC6327" w:rsidRPr="001D3B64" w:rsidRDefault="00BC6327" w:rsidP="003D405E">
      <w:pPr>
        <w:jc w:val="center"/>
        <w:rPr>
          <w:b/>
          <w:sz w:val="18"/>
          <w:szCs w:val="18"/>
        </w:rPr>
      </w:pPr>
      <w:bookmarkStart w:id="1" w:name="_Hlk8901523"/>
      <w:bookmarkEnd w:id="0"/>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4594D1BE"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w:t>
            </w:r>
            <w:r w:rsidRPr="004B622D">
              <w:rPr>
                <w:rFonts w:ascii="Times New Roman" w:hAnsi="Times New Roman"/>
                <w:sz w:val="18"/>
                <w:szCs w:val="18"/>
              </w:rPr>
              <w:t xml:space="preserve">home plumbing.  </w:t>
            </w:r>
            <w:r w:rsidR="004B622D" w:rsidRPr="004B622D">
              <w:rPr>
                <w:rFonts w:ascii="Times New Roman" w:hAnsi="Times New Roman"/>
                <w:sz w:val="18"/>
                <w:szCs w:val="18"/>
              </w:rPr>
              <w:t>Estancia Winery WS</w:t>
            </w:r>
            <w:r w:rsidRPr="004B622D">
              <w:rPr>
                <w:rFonts w:ascii="Times New Roman" w:hAnsi="Times New Roman"/>
                <w:sz w:val="18"/>
                <w:szCs w:val="18"/>
              </w:rPr>
              <w:t xml:space="preserve"> 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9D23A4" w:rsidRPr="00F41F91" w14:paraId="4F1C550A"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4512366B" w14:textId="4216F805" w:rsidR="009D23A4" w:rsidRPr="00F41F91" w:rsidRDefault="009D23A4" w:rsidP="005A26E0">
            <w:pPr>
              <w:pStyle w:val="BodyText"/>
              <w:spacing w:before="0"/>
              <w:jc w:val="center"/>
              <w:rPr>
                <w:rFonts w:ascii="Times New Roman" w:hAnsi="Times New Roman"/>
                <w:b/>
                <w:sz w:val="18"/>
                <w:szCs w:val="18"/>
              </w:rPr>
            </w:pPr>
            <w:r w:rsidRPr="00E84786">
              <w:rPr>
                <w:rFonts w:ascii="Times New Roman" w:hAnsi="Times New Roman"/>
                <w:b/>
                <w:bCs/>
                <w:sz w:val="18"/>
                <w:szCs w:val="18"/>
              </w:rPr>
              <w:t>Total Coliform Bacteria</w:t>
            </w:r>
            <w:r w:rsidRPr="00E84786">
              <w:rPr>
                <w:rFonts w:ascii="Times New Roman" w:hAnsi="Times New Roman"/>
                <w:b/>
                <w:bCs/>
                <w:sz w:val="18"/>
                <w:szCs w:val="18"/>
              </w:rPr>
              <w:br/>
              <w:t>(state Total Coliform Rule)</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66BE715A" w14:textId="74360592" w:rsidR="009D23A4" w:rsidRPr="00F41F91" w:rsidRDefault="009D23A4" w:rsidP="005A26E0">
            <w:pPr>
              <w:pStyle w:val="BodyText"/>
              <w:spacing w:before="0"/>
              <w:jc w:val="center"/>
              <w:rPr>
                <w:rFonts w:ascii="Times New Roman" w:hAnsi="Times New Roman"/>
                <w:b/>
                <w:sz w:val="18"/>
                <w:szCs w:val="18"/>
              </w:rPr>
            </w:pPr>
            <w:r w:rsidRPr="00E84786">
              <w:rPr>
                <w:rFonts w:ascii="Times New Roman" w:hAnsi="Times New Roman"/>
                <w:b/>
                <w:bCs/>
                <w:sz w:val="16"/>
                <w:szCs w:val="16"/>
              </w:rPr>
              <w:t>Detection of Total Coliform Bacteria</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330F694E" w14:textId="72BAE1D6" w:rsidR="009D23A4" w:rsidRPr="00F41F91" w:rsidRDefault="009D23A4" w:rsidP="005A26E0">
            <w:pPr>
              <w:pStyle w:val="BodyText"/>
              <w:spacing w:before="0"/>
              <w:jc w:val="center"/>
              <w:rPr>
                <w:rFonts w:ascii="Times New Roman" w:hAnsi="Times New Roman"/>
                <w:b/>
                <w:sz w:val="18"/>
                <w:szCs w:val="18"/>
              </w:rPr>
            </w:pPr>
            <w:r>
              <w:rPr>
                <w:rFonts w:ascii="Times New Roman" w:hAnsi="Times New Roman"/>
                <w:b/>
                <w:sz w:val="18"/>
                <w:szCs w:val="18"/>
              </w:rPr>
              <w:t>6/2023, 7/2023, 8/2023</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7147A67B" w14:textId="430B082B" w:rsidR="009D23A4" w:rsidRPr="00F41F91" w:rsidRDefault="009D23A4" w:rsidP="005A26E0">
            <w:pPr>
              <w:pStyle w:val="BodyText"/>
              <w:spacing w:before="0"/>
              <w:jc w:val="center"/>
              <w:rPr>
                <w:rFonts w:ascii="Times New Roman" w:hAnsi="Times New Roman"/>
                <w:b/>
                <w:sz w:val="18"/>
                <w:szCs w:val="18"/>
              </w:rPr>
            </w:pPr>
            <w:r w:rsidRPr="00E84786">
              <w:rPr>
                <w:rFonts w:ascii="Times New Roman" w:hAnsi="Times New Roman"/>
                <w:b/>
                <w:bCs/>
                <w:sz w:val="16"/>
                <w:szCs w:val="16"/>
              </w:rPr>
              <w:t>System Disinfection &amp; Flush</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64CAB205" w14:textId="0E634271" w:rsidR="009D23A4" w:rsidRPr="00F41F91" w:rsidRDefault="009D23A4" w:rsidP="005A26E0">
            <w:pPr>
              <w:pStyle w:val="BodyText"/>
              <w:spacing w:before="0"/>
              <w:jc w:val="center"/>
              <w:rPr>
                <w:rFonts w:ascii="Times New Roman" w:hAnsi="Times New Roman"/>
                <w:b/>
                <w:sz w:val="18"/>
                <w:szCs w:val="18"/>
              </w:rPr>
            </w:pPr>
            <w:r w:rsidRPr="00E84786">
              <w:rPr>
                <w:rFonts w:ascii="Times New Roman" w:hAnsi="Times New Roman"/>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8851FF" w:rsidRPr="00F41F91" w14:paraId="12E626D8"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7B297C74" w14:textId="0104FB89" w:rsidR="008851FF" w:rsidRPr="00F41F91" w:rsidRDefault="008851FF" w:rsidP="005A26E0">
            <w:pPr>
              <w:pStyle w:val="BodyText"/>
              <w:spacing w:before="0"/>
              <w:jc w:val="center"/>
              <w:rPr>
                <w:rFonts w:ascii="Times New Roman" w:hAnsi="Times New Roman"/>
                <w:b/>
                <w:sz w:val="18"/>
                <w:szCs w:val="18"/>
              </w:rPr>
            </w:pPr>
            <w:r>
              <w:rPr>
                <w:rFonts w:ascii="Times New Roman" w:hAnsi="Times New Roman"/>
                <w:b/>
                <w:sz w:val="18"/>
                <w:szCs w:val="18"/>
              </w:rPr>
              <w:t>Iron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01986BB9" w14:textId="0C3B27D1" w:rsidR="008851FF" w:rsidRPr="00F41F91" w:rsidRDefault="008851FF" w:rsidP="005A26E0">
            <w:pPr>
              <w:pStyle w:val="BodyText"/>
              <w:spacing w:before="0"/>
              <w:jc w:val="center"/>
              <w:rPr>
                <w:rFonts w:ascii="Times New Roman" w:hAnsi="Times New Roman"/>
                <w:b/>
                <w:sz w:val="18"/>
                <w:szCs w:val="18"/>
              </w:rPr>
            </w:pPr>
            <w:r>
              <w:rPr>
                <w:rFonts w:ascii="Times New Roman" w:hAnsi="Times New Roman"/>
                <w:b/>
                <w:sz w:val="18"/>
                <w:szCs w:val="18"/>
              </w:rPr>
              <w:t>Post treatment Iron Levels exceed established MCL</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4F695C2B" w14:textId="74EBB27E" w:rsidR="008851FF" w:rsidRPr="00F41F91" w:rsidRDefault="008851FF" w:rsidP="005A26E0">
            <w:pPr>
              <w:pStyle w:val="BodyText"/>
              <w:spacing w:before="0"/>
              <w:jc w:val="center"/>
              <w:rPr>
                <w:rFonts w:ascii="Times New Roman" w:hAnsi="Times New Roman"/>
                <w:b/>
                <w:sz w:val="18"/>
                <w:szCs w:val="18"/>
              </w:rPr>
            </w:pPr>
            <w:r>
              <w:rPr>
                <w:rFonts w:ascii="Times New Roman" w:hAnsi="Times New Roman"/>
                <w:b/>
                <w:sz w:val="18"/>
                <w:szCs w:val="18"/>
              </w:rPr>
              <w:t>Ongoing</w:t>
            </w:r>
            <w:r w:rsidR="009D23A4">
              <w:rPr>
                <w:rFonts w:ascii="Times New Roman" w:hAnsi="Times New Roman"/>
                <w:b/>
                <w:sz w:val="18"/>
                <w:szCs w:val="18"/>
              </w:rPr>
              <w:t xml:space="preserve"> 2023</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1801ADCC" w14:textId="058B9CDE" w:rsidR="008851FF" w:rsidRPr="00F41F91" w:rsidRDefault="006C07B5" w:rsidP="005A26E0">
            <w:pPr>
              <w:pStyle w:val="BodyText"/>
              <w:spacing w:before="0"/>
              <w:jc w:val="center"/>
              <w:rPr>
                <w:rFonts w:ascii="Times New Roman" w:hAnsi="Times New Roman"/>
                <w:b/>
                <w:sz w:val="18"/>
                <w:szCs w:val="18"/>
              </w:rPr>
            </w:pPr>
            <w:r>
              <w:rPr>
                <w:rFonts w:ascii="Times New Roman" w:hAnsi="Times New Roman"/>
                <w:b/>
                <w:sz w:val="18"/>
                <w:szCs w:val="18"/>
              </w:rPr>
              <w:t xml:space="preserve">Treatment system </w:t>
            </w:r>
            <w:r w:rsidR="009D23A4">
              <w:rPr>
                <w:rFonts w:ascii="Times New Roman" w:hAnsi="Times New Roman"/>
                <w:b/>
                <w:sz w:val="18"/>
                <w:szCs w:val="18"/>
              </w:rPr>
              <w:t xml:space="preserve">and quarterly monitoring </w:t>
            </w:r>
            <w:r>
              <w:rPr>
                <w:rFonts w:ascii="Times New Roman" w:hAnsi="Times New Roman"/>
                <w:b/>
                <w:sz w:val="18"/>
                <w:szCs w:val="18"/>
              </w:rPr>
              <w:t>in place.</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137537B0" w14:textId="6E9016F1" w:rsidR="008851FF" w:rsidRPr="009D23A4" w:rsidRDefault="00221E64" w:rsidP="005A26E0">
            <w:pPr>
              <w:pStyle w:val="BodyText"/>
              <w:spacing w:before="0"/>
              <w:jc w:val="center"/>
              <w:rPr>
                <w:rFonts w:ascii="Times New Roman" w:hAnsi="Times New Roman"/>
                <w:b/>
                <w:bCs/>
                <w:iCs/>
                <w:sz w:val="18"/>
                <w:szCs w:val="18"/>
              </w:rPr>
            </w:pPr>
            <w:r w:rsidRPr="009D23A4">
              <w:rPr>
                <w:rFonts w:ascii="Times New Roman" w:hAnsi="Times New Roman"/>
                <w:b/>
                <w:bCs/>
                <w:iCs/>
                <w:sz w:val="18"/>
                <w:szCs w:val="18"/>
              </w:rPr>
              <w:t>The iron MCL was set to protect you against unpleasant aesthetic effects (e.g., color, taste, and odor) and the staining of plumbing fixtures (e.g., tubs and sinks) and clothing while washing.  The high iron levels are due to leaching of natural deposits.</w:t>
            </w:r>
          </w:p>
        </w:tc>
      </w:tr>
      <w:tr w:rsidR="008851FF" w:rsidRPr="00F41F91" w14:paraId="7556F4BB"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1D3885D7" w14:textId="508D09C3" w:rsidR="008851FF" w:rsidRPr="00F41F91" w:rsidRDefault="00221E64" w:rsidP="005A26E0">
            <w:pPr>
              <w:pStyle w:val="BodyText"/>
              <w:spacing w:before="0"/>
              <w:jc w:val="center"/>
              <w:rPr>
                <w:rFonts w:ascii="Times New Roman" w:hAnsi="Times New Roman"/>
                <w:b/>
                <w:sz w:val="18"/>
                <w:szCs w:val="18"/>
              </w:rPr>
            </w:pPr>
            <w:r>
              <w:rPr>
                <w:rFonts w:ascii="Times New Roman" w:hAnsi="Times New Roman"/>
                <w:b/>
                <w:sz w:val="18"/>
                <w:szCs w:val="18"/>
              </w:rPr>
              <w:t>Manganese</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1C73438D" w14:textId="0992A054" w:rsidR="008851FF" w:rsidRPr="00F41F91" w:rsidRDefault="00221E64" w:rsidP="005A26E0">
            <w:pPr>
              <w:pStyle w:val="BodyText"/>
              <w:spacing w:before="0"/>
              <w:jc w:val="center"/>
              <w:rPr>
                <w:rFonts w:ascii="Times New Roman" w:hAnsi="Times New Roman"/>
                <w:b/>
                <w:sz w:val="18"/>
                <w:szCs w:val="18"/>
              </w:rPr>
            </w:pPr>
            <w:r>
              <w:rPr>
                <w:rFonts w:ascii="Times New Roman" w:hAnsi="Times New Roman"/>
                <w:b/>
                <w:sz w:val="18"/>
                <w:szCs w:val="18"/>
              </w:rPr>
              <w:t xml:space="preserve">Post treatment Manganese Levels exceed established MCL </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CF345C7" w14:textId="37CF3F82" w:rsidR="008851FF" w:rsidRPr="00F41F91" w:rsidRDefault="00221E64" w:rsidP="005A26E0">
            <w:pPr>
              <w:pStyle w:val="BodyText"/>
              <w:spacing w:before="0"/>
              <w:jc w:val="center"/>
              <w:rPr>
                <w:rFonts w:ascii="Times New Roman" w:hAnsi="Times New Roman"/>
                <w:b/>
                <w:sz w:val="18"/>
                <w:szCs w:val="18"/>
              </w:rPr>
            </w:pPr>
            <w:r>
              <w:rPr>
                <w:rFonts w:ascii="Times New Roman" w:hAnsi="Times New Roman"/>
                <w:b/>
                <w:sz w:val="18"/>
                <w:szCs w:val="18"/>
              </w:rPr>
              <w:t>Ongoing</w:t>
            </w:r>
            <w:r w:rsidR="009D23A4">
              <w:rPr>
                <w:rFonts w:ascii="Times New Roman" w:hAnsi="Times New Roman"/>
                <w:b/>
                <w:sz w:val="18"/>
                <w:szCs w:val="18"/>
              </w:rPr>
              <w:t xml:space="preserve"> 2023</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6BC896B1" w14:textId="72B4F063" w:rsidR="008851FF" w:rsidRPr="00F41F91" w:rsidRDefault="006C07B5" w:rsidP="005A26E0">
            <w:pPr>
              <w:pStyle w:val="BodyText"/>
              <w:spacing w:before="0"/>
              <w:jc w:val="center"/>
              <w:rPr>
                <w:rFonts w:ascii="Times New Roman" w:hAnsi="Times New Roman"/>
                <w:b/>
                <w:sz w:val="18"/>
                <w:szCs w:val="18"/>
              </w:rPr>
            </w:pPr>
            <w:r>
              <w:rPr>
                <w:rFonts w:ascii="Times New Roman" w:hAnsi="Times New Roman"/>
                <w:b/>
                <w:sz w:val="18"/>
                <w:szCs w:val="18"/>
              </w:rPr>
              <w:t xml:space="preserve">Treatment system </w:t>
            </w:r>
            <w:r w:rsidR="009D23A4">
              <w:rPr>
                <w:rFonts w:ascii="Times New Roman" w:hAnsi="Times New Roman"/>
                <w:b/>
                <w:sz w:val="18"/>
                <w:szCs w:val="18"/>
              </w:rPr>
              <w:t xml:space="preserve">and quarterly monitoring </w:t>
            </w:r>
            <w:r>
              <w:rPr>
                <w:rFonts w:ascii="Times New Roman" w:hAnsi="Times New Roman"/>
                <w:b/>
                <w:sz w:val="18"/>
                <w:szCs w:val="18"/>
              </w:rPr>
              <w:t>in place.</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949F55F" w14:textId="45871499" w:rsidR="008851FF" w:rsidRPr="009D23A4" w:rsidRDefault="00221E64" w:rsidP="005A26E0">
            <w:pPr>
              <w:pStyle w:val="BodyText"/>
              <w:spacing w:before="0"/>
              <w:jc w:val="center"/>
              <w:rPr>
                <w:rFonts w:ascii="Times New Roman" w:hAnsi="Times New Roman"/>
                <w:b/>
                <w:bCs/>
                <w:sz w:val="18"/>
                <w:szCs w:val="18"/>
              </w:rPr>
            </w:pPr>
            <w:r w:rsidRPr="009D23A4">
              <w:rPr>
                <w:rFonts w:ascii="Times New Roman" w:hAnsi="Times New Roman"/>
                <w:b/>
                <w:bCs/>
                <w:sz w:val="18"/>
                <w:szCs w:val="18"/>
              </w:rPr>
              <w:t>Manganese exposures resulted in neurological effects.  High levels of manganese in people have been shown to result in adverse effects to the nervous system.</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2"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2"/>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3"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10DF3D0D" w:rsidR="00DD7D18" w:rsidRPr="001D3B64" w:rsidRDefault="00DD7D18" w:rsidP="005A26E0">
      <w:pPr>
        <w:jc w:val="both"/>
        <w:rPr>
          <w:sz w:val="18"/>
          <w:szCs w:val="18"/>
        </w:rPr>
      </w:pPr>
      <w:r w:rsidRPr="001D3B64">
        <w:rPr>
          <w:sz w:val="18"/>
          <w:szCs w:val="18"/>
        </w:rPr>
        <w:t xml:space="preserve">During the past year we were required to conduct </w:t>
      </w:r>
      <w:r w:rsidR="00276D2E">
        <w:rPr>
          <w:sz w:val="18"/>
          <w:szCs w:val="18"/>
        </w:rPr>
        <w:t>1</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7A5F3F24" w:rsidR="00DD7D18" w:rsidRPr="001D3B64" w:rsidRDefault="00DD7D18" w:rsidP="005A26E0">
      <w:pPr>
        <w:jc w:val="both"/>
        <w:rPr>
          <w:sz w:val="18"/>
          <w:szCs w:val="18"/>
        </w:rPr>
      </w:pPr>
      <w:r w:rsidRPr="001D3B64">
        <w:rPr>
          <w:sz w:val="18"/>
          <w:szCs w:val="18"/>
        </w:rPr>
        <w:t xml:space="preserve">During the past year </w:t>
      </w:r>
      <w:r w:rsidR="00276D2E">
        <w:rPr>
          <w:sz w:val="18"/>
          <w:szCs w:val="18"/>
        </w:rPr>
        <w:t>1</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642603DF" w:rsidR="00D54478"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1"/>
      <w:bookmarkEnd w:id="3"/>
    </w:p>
    <w:sectPr w:rsidR="00D54478" w:rsidRPr="001D3B64" w:rsidSect="0076748E">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E43A9" w14:textId="77777777" w:rsidR="00847209" w:rsidRDefault="00847209">
      <w:r>
        <w:separator/>
      </w:r>
    </w:p>
  </w:endnote>
  <w:endnote w:type="continuationSeparator" w:id="0">
    <w:p w14:paraId="27388E7B" w14:textId="77777777" w:rsidR="00847209" w:rsidRDefault="0084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A9F3" w14:textId="77777777" w:rsidR="00847209" w:rsidRDefault="00847209">
      <w:r>
        <w:separator/>
      </w:r>
    </w:p>
  </w:footnote>
  <w:footnote w:type="continuationSeparator" w:id="0">
    <w:p w14:paraId="0C5CD7B7" w14:textId="77777777" w:rsidR="00847209" w:rsidRDefault="0084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04AD"/>
    <w:rsid w:val="000C116D"/>
    <w:rsid w:val="000C16DD"/>
    <w:rsid w:val="000C1A52"/>
    <w:rsid w:val="000D2943"/>
    <w:rsid w:val="000D4AC7"/>
    <w:rsid w:val="000D5F39"/>
    <w:rsid w:val="000F3C1E"/>
    <w:rsid w:val="000F6367"/>
    <w:rsid w:val="00100750"/>
    <w:rsid w:val="00101107"/>
    <w:rsid w:val="001151D3"/>
    <w:rsid w:val="0012764D"/>
    <w:rsid w:val="00127B29"/>
    <w:rsid w:val="00127B6D"/>
    <w:rsid w:val="001331D3"/>
    <w:rsid w:val="001446B8"/>
    <w:rsid w:val="001476E6"/>
    <w:rsid w:val="00153D70"/>
    <w:rsid w:val="00154C45"/>
    <w:rsid w:val="00161D5A"/>
    <w:rsid w:val="00170328"/>
    <w:rsid w:val="00172215"/>
    <w:rsid w:val="00173A3B"/>
    <w:rsid w:val="00180F74"/>
    <w:rsid w:val="00181292"/>
    <w:rsid w:val="00181F3E"/>
    <w:rsid w:val="001938A9"/>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A04"/>
    <w:rsid w:val="001E7F17"/>
    <w:rsid w:val="001F155B"/>
    <w:rsid w:val="001F3468"/>
    <w:rsid w:val="00200C8A"/>
    <w:rsid w:val="00200ED0"/>
    <w:rsid w:val="002010C1"/>
    <w:rsid w:val="00214D2C"/>
    <w:rsid w:val="002166FF"/>
    <w:rsid w:val="00220240"/>
    <w:rsid w:val="00221E64"/>
    <w:rsid w:val="002235F6"/>
    <w:rsid w:val="002245C6"/>
    <w:rsid w:val="00226E0C"/>
    <w:rsid w:val="00231E89"/>
    <w:rsid w:val="0023302C"/>
    <w:rsid w:val="00243361"/>
    <w:rsid w:val="002436C8"/>
    <w:rsid w:val="00246D6E"/>
    <w:rsid w:val="0025510E"/>
    <w:rsid w:val="00256496"/>
    <w:rsid w:val="00264941"/>
    <w:rsid w:val="0027284D"/>
    <w:rsid w:val="00273001"/>
    <w:rsid w:val="00276CF6"/>
    <w:rsid w:val="00276D2E"/>
    <w:rsid w:val="002856B8"/>
    <w:rsid w:val="00294205"/>
    <w:rsid w:val="002A20BB"/>
    <w:rsid w:val="002A3636"/>
    <w:rsid w:val="002A5C9F"/>
    <w:rsid w:val="002A746D"/>
    <w:rsid w:val="002B0B02"/>
    <w:rsid w:val="002B3B52"/>
    <w:rsid w:val="002C2856"/>
    <w:rsid w:val="002D15BC"/>
    <w:rsid w:val="002D429D"/>
    <w:rsid w:val="002D728F"/>
    <w:rsid w:val="002E43B8"/>
    <w:rsid w:val="002F07E8"/>
    <w:rsid w:val="002F0A31"/>
    <w:rsid w:val="002F1DD3"/>
    <w:rsid w:val="002F6EC9"/>
    <w:rsid w:val="00301D86"/>
    <w:rsid w:val="00304873"/>
    <w:rsid w:val="003205C1"/>
    <w:rsid w:val="00321E5D"/>
    <w:rsid w:val="00322340"/>
    <w:rsid w:val="003254AF"/>
    <w:rsid w:val="0033024B"/>
    <w:rsid w:val="00332A75"/>
    <w:rsid w:val="00335461"/>
    <w:rsid w:val="00340568"/>
    <w:rsid w:val="00341671"/>
    <w:rsid w:val="00342432"/>
    <w:rsid w:val="00342536"/>
    <w:rsid w:val="0034785D"/>
    <w:rsid w:val="00357F0C"/>
    <w:rsid w:val="00365C7B"/>
    <w:rsid w:val="00377086"/>
    <w:rsid w:val="00383730"/>
    <w:rsid w:val="00383C7B"/>
    <w:rsid w:val="00391089"/>
    <w:rsid w:val="00391E62"/>
    <w:rsid w:val="00397893"/>
    <w:rsid w:val="003A29A5"/>
    <w:rsid w:val="003A5EB5"/>
    <w:rsid w:val="003B1F6B"/>
    <w:rsid w:val="003B3381"/>
    <w:rsid w:val="003B3AC6"/>
    <w:rsid w:val="003C2FCC"/>
    <w:rsid w:val="003C7E02"/>
    <w:rsid w:val="003D0DAA"/>
    <w:rsid w:val="003D405E"/>
    <w:rsid w:val="003E7032"/>
    <w:rsid w:val="003F23AC"/>
    <w:rsid w:val="003F3A38"/>
    <w:rsid w:val="003F5E00"/>
    <w:rsid w:val="00404209"/>
    <w:rsid w:val="004053E9"/>
    <w:rsid w:val="004120B6"/>
    <w:rsid w:val="00412B2F"/>
    <w:rsid w:val="00415B66"/>
    <w:rsid w:val="00416A8E"/>
    <w:rsid w:val="0041709B"/>
    <w:rsid w:val="004216C3"/>
    <w:rsid w:val="004230E3"/>
    <w:rsid w:val="0042461A"/>
    <w:rsid w:val="0042631E"/>
    <w:rsid w:val="00427F0E"/>
    <w:rsid w:val="00435A3F"/>
    <w:rsid w:val="00441930"/>
    <w:rsid w:val="00442D66"/>
    <w:rsid w:val="004445E4"/>
    <w:rsid w:val="004447CC"/>
    <w:rsid w:val="00444F47"/>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622D"/>
    <w:rsid w:val="004B7187"/>
    <w:rsid w:val="004C5E5E"/>
    <w:rsid w:val="004D10A7"/>
    <w:rsid w:val="004D28CD"/>
    <w:rsid w:val="004D509C"/>
    <w:rsid w:val="004E08C3"/>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159"/>
    <w:rsid w:val="005830FA"/>
    <w:rsid w:val="0058536C"/>
    <w:rsid w:val="005871D9"/>
    <w:rsid w:val="005937EB"/>
    <w:rsid w:val="005A087D"/>
    <w:rsid w:val="005A26E0"/>
    <w:rsid w:val="005C04C1"/>
    <w:rsid w:val="005D1987"/>
    <w:rsid w:val="005D1F18"/>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07B5"/>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6748E"/>
    <w:rsid w:val="00775871"/>
    <w:rsid w:val="00776034"/>
    <w:rsid w:val="00783F5A"/>
    <w:rsid w:val="0078478E"/>
    <w:rsid w:val="00784E3A"/>
    <w:rsid w:val="00794705"/>
    <w:rsid w:val="007960F1"/>
    <w:rsid w:val="00796405"/>
    <w:rsid w:val="00796E52"/>
    <w:rsid w:val="007A0307"/>
    <w:rsid w:val="007B0B24"/>
    <w:rsid w:val="007C18C6"/>
    <w:rsid w:val="007D1751"/>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1B5"/>
    <w:rsid w:val="00836B2C"/>
    <w:rsid w:val="00847209"/>
    <w:rsid w:val="00857337"/>
    <w:rsid w:val="00860711"/>
    <w:rsid w:val="008642CC"/>
    <w:rsid w:val="0086535D"/>
    <w:rsid w:val="00865B9C"/>
    <w:rsid w:val="00881DB7"/>
    <w:rsid w:val="00883433"/>
    <w:rsid w:val="008851FF"/>
    <w:rsid w:val="00885381"/>
    <w:rsid w:val="00895240"/>
    <w:rsid w:val="00896E02"/>
    <w:rsid w:val="008A002C"/>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14D"/>
    <w:rsid w:val="00901274"/>
    <w:rsid w:val="00901C69"/>
    <w:rsid w:val="00904288"/>
    <w:rsid w:val="0090556B"/>
    <w:rsid w:val="00911A33"/>
    <w:rsid w:val="00915867"/>
    <w:rsid w:val="009160C7"/>
    <w:rsid w:val="00921C44"/>
    <w:rsid w:val="0093241D"/>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0DF9"/>
    <w:rsid w:val="00991188"/>
    <w:rsid w:val="0099313E"/>
    <w:rsid w:val="00995293"/>
    <w:rsid w:val="009B1047"/>
    <w:rsid w:val="009B337D"/>
    <w:rsid w:val="009C0E21"/>
    <w:rsid w:val="009C1882"/>
    <w:rsid w:val="009C3F08"/>
    <w:rsid w:val="009C4A4B"/>
    <w:rsid w:val="009C6436"/>
    <w:rsid w:val="009D0195"/>
    <w:rsid w:val="009D23A4"/>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6342D"/>
    <w:rsid w:val="00A72ADF"/>
    <w:rsid w:val="00A93A21"/>
    <w:rsid w:val="00A94D32"/>
    <w:rsid w:val="00A9766F"/>
    <w:rsid w:val="00AA08AF"/>
    <w:rsid w:val="00AB01B0"/>
    <w:rsid w:val="00AB5E87"/>
    <w:rsid w:val="00AC41BE"/>
    <w:rsid w:val="00AC6D1E"/>
    <w:rsid w:val="00AD4876"/>
    <w:rsid w:val="00AE0EA9"/>
    <w:rsid w:val="00AF0445"/>
    <w:rsid w:val="00AF2E38"/>
    <w:rsid w:val="00AF562E"/>
    <w:rsid w:val="00AF619D"/>
    <w:rsid w:val="00B0620C"/>
    <w:rsid w:val="00B1666D"/>
    <w:rsid w:val="00B23FD9"/>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01DD"/>
    <w:rsid w:val="00BA49B1"/>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4661A"/>
    <w:rsid w:val="00C51D70"/>
    <w:rsid w:val="00C55FC5"/>
    <w:rsid w:val="00C6314A"/>
    <w:rsid w:val="00C649AA"/>
    <w:rsid w:val="00C77170"/>
    <w:rsid w:val="00C8032D"/>
    <w:rsid w:val="00C842E9"/>
    <w:rsid w:val="00C945A7"/>
    <w:rsid w:val="00C952C9"/>
    <w:rsid w:val="00C96627"/>
    <w:rsid w:val="00CB1FF9"/>
    <w:rsid w:val="00CB5A7C"/>
    <w:rsid w:val="00CB6FF7"/>
    <w:rsid w:val="00CB77CA"/>
    <w:rsid w:val="00CC27A8"/>
    <w:rsid w:val="00CC2F86"/>
    <w:rsid w:val="00CC67FE"/>
    <w:rsid w:val="00CD26F1"/>
    <w:rsid w:val="00CD598A"/>
    <w:rsid w:val="00CE2D72"/>
    <w:rsid w:val="00CE5C85"/>
    <w:rsid w:val="00CE7081"/>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61D10"/>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5866"/>
    <w:rsid w:val="00E06B20"/>
    <w:rsid w:val="00E10EC3"/>
    <w:rsid w:val="00E20938"/>
    <w:rsid w:val="00E23E88"/>
    <w:rsid w:val="00E24E8A"/>
    <w:rsid w:val="00E25265"/>
    <w:rsid w:val="00E30DFC"/>
    <w:rsid w:val="00E32DF1"/>
    <w:rsid w:val="00E331F5"/>
    <w:rsid w:val="00E41EE8"/>
    <w:rsid w:val="00E427E7"/>
    <w:rsid w:val="00E4350E"/>
    <w:rsid w:val="00E45705"/>
    <w:rsid w:val="00E56B28"/>
    <w:rsid w:val="00E60304"/>
    <w:rsid w:val="00E6542D"/>
    <w:rsid w:val="00E669DF"/>
    <w:rsid w:val="00E67C01"/>
    <w:rsid w:val="00E80B80"/>
    <w:rsid w:val="00E8528D"/>
    <w:rsid w:val="00E91D0B"/>
    <w:rsid w:val="00E91E70"/>
    <w:rsid w:val="00E92E9C"/>
    <w:rsid w:val="00E94042"/>
    <w:rsid w:val="00EA2C22"/>
    <w:rsid w:val="00EA66F0"/>
    <w:rsid w:val="00EB0127"/>
    <w:rsid w:val="00EB2EBD"/>
    <w:rsid w:val="00EB3BEC"/>
    <w:rsid w:val="00EB6CF4"/>
    <w:rsid w:val="00EB73F5"/>
    <w:rsid w:val="00ED2935"/>
    <w:rsid w:val="00ED45F8"/>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E3F59"/>
    <w:rsid w:val="00FE4D69"/>
    <w:rsid w:val="00FE557C"/>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20</cp:revision>
  <cp:lastPrinted>2018-12-11T18:58:00Z</cp:lastPrinted>
  <dcterms:created xsi:type="dcterms:W3CDTF">2023-01-26T19:46:00Z</dcterms:created>
  <dcterms:modified xsi:type="dcterms:W3CDTF">2024-06-21T22:49:00Z</dcterms:modified>
</cp:coreProperties>
</file>