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65A99AB1" w14:textId="0DA8EEC6" w:rsidR="003A4CAA"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A4234" w:rsidRPr="00D068AE">
        <w:rPr>
          <w:rFonts w:ascii="Arial" w:hAnsi="Arial" w:cs="Arial"/>
          <w:sz w:val="24"/>
          <w:szCs w:val="24"/>
        </w:rPr>
        <w:t>Tassajara Springs #270-1705</w:t>
      </w:r>
      <w:r w:rsidR="00CA4234" w:rsidRPr="00D068AE">
        <w:rPr>
          <w:rFonts w:ascii="Arial" w:hAnsi="Arial" w:cs="Arial"/>
          <w:sz w:val="24"/>
          <w:szCs w:val="24"/>
        </w:rPr>
        <w:t xml:space="preserve"> </w:t>
      </w:r>
      <w:r w:rsidR="00ED7919" w:rsidRPr="007119B8">
        <w:rPr>
          <w:rFonts w:ascii="Arial" w:hAnsi="Arial" w:cs="Arial"/>
          <w:sz w:val="24"/>
          <w:szCs w:val="24"/>
        </w:rPr>
        <w:t>Rep</w:t>
      </w:r>
      <w:r w:rsidRPr="007119B8">
        <w:rPr>
          <w:rFonts w:ascii="Arial" w:hAnsi="Arial" w:cs="Arial"/>
          <w:sz w:val="24"/>
          <w:szCs w:val="24"/>
        </w:rPr>
        <w:t>ort Date:</w:t>
      </w:r>
      <w:r w:rsidR="00ED7919" w:rsidRPr="007119B8">
        <w:rPr>
          <w:rFonts w:ascii="Arial" w:hAnsi="Arial" w:cs="Arial"/>
          <w:sz w:val="24"/>
          <w:szCs w:val="24"/>
        </w:rPr>
        <w:t xml:space="preserve"> </w:t>
      </w:r>
      <w:r w:rsidR="00CA4234">
        <w:rPr>
          <w:rFonts w:ascii="Arial" w:hAnsi="Arial" w:cs="Arial"/>
          <w:sz w:val="24"/>
          <w:szCs w:val="24"/>
        </w:rPr>
        <w:t>6/28/22</w:t>
      </w:r>
    </w:p>
    <w:p w14:paraId="21C05768" w14:textId="10BF8A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A4234" w:rsidRPr="00207448">
        <w:rPr>
          <w:rFonts w:ascii="Arial" w:hAnsi="Arial" w:cs="Arial"/>
          <w:sz w:val="24"/>
          <w:szCs w:val="24"/>
        </w:rPr>
        <w:t>Ground water under the influence of surface water (springs)</w:t>
      </w:r>
    </w:p>
    <w:p w14:paraId="27671913" w14:textId="3939A892" w:rsidR="00D068AE" w:rsidRPr="00207448" w:rsidRDefault="004263A6" w:rsidP="00D068AE">
      <w:pPr>
        <w:spacing w:after="240"/>
        <w:rPr>
          <w:rFonts w:ascii="Arial" w:hAnsi="Arial" w:cs="Arial"/>
          <w:sz w:val="24"/>
          <w:szCs w:val="24"/>
        </w:rPr>
      </w:pPr>
      <w:r w:rsidRPr="005F082E">
        <w:rPr>
          <w:rFonts w:ascii="Arial" w:hAnsi="Arial" w:cs="Arial"/>
          <w:sz w:val="24"/>
          <w:szCs w:val="24"/>
        </w:rPr>
        <w:t xml:space="preserve">Name and General Location of Source(s): </w:t>
      </w:r>
      <w:r w:rsidR="00D068AE" w:rsidRPr="00207448">
        <w:rPr>
          <w:rFonts w:ascii="Arial" w:hAnsi="Arial" w:cs="Arial"/>
          <w:sz w:val="24"/>
          <w:szCs w:val="24"/>
        </w:rPr>
        <w:t>Spring 01 – Upper Spring, and Spring 02 – Lower Spring, are both located</w:t>
      </w:r>
      <w:r w:rsidR="00D068AE">
        <w:rPr>
          <w:rFonts w:ascii="Arial" w:hAnsi="Arial" w:cs="Arial"/>
          <w:sz w:val="24"/>
          <w:szCs w:val="24"/>
        </w:rPr>
        <w:t xml:space="preserve"> </w:t>
      </w:r>
      <w:r w:rsidR="00D068AE" w:rsidRPr="00207448">
        <w:rPr>
          <w:rFonts w:ascii="Arial" w:hAnsi="Arial" w:cs="Arial"/>
          <w:sz w:val="24"/>
          <w:szCs w:val="24"/>
        </w:rPr>
        <w:t>3/10 mile North of Zen Mountain Center</w:t>
      </w:r>
    </w:p>
    <w:p w14:paraId="61432573" w14:textId="6800A915" w:rsidR="00CA4234" w:rsidRPr="00207448" w:rsidRDefault="004263A6" w:rsidP="00207448">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A4234" w:rsidRPr="00207448">
        <w:rPr>
          <w:rFonts w:ascii="Arial" w:hAnsi="Arial" w:cs="Arial"/>
          <w:sz w:val="24"/>
          <w:szCs w:val="24"/>
        </w:rPr>
        <w:t>Completed January 2003 contact: Cheryl Sandoval (831) 755-8924</w:t>
      </w:r>
    </w:p>
    <w:p w14:paraId="1DA00AAC" w14:textId="6EBF3522" w:rsidR="00CA4234"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CA4234">
        <w:rPr>
          <w:rFonts w:ascii="Arial" w:hAnsi="Arial" w:cs="Arial"/>
          <w:sz w:val="24"/>
          <w:szCs w:val="24"/>
        </w:rPr>
        <w:t>:</w:t>
      </w:r>
      <w:r w:rsidR="00D068AE">
        <w:rPr>
          <w:rFonts w:ascii="Arial" w:hAnsi="Arial" w:cs="Arial"/>
          <w:sz w:val="24"/>
          <w:szCs w:val="24"/>
        </w:rPr>
        <w:t xml:space="preserve"> </w:t>
      </w:r>
      <w:r w:rsidR="00D068AE" w:rsidRPr="00207448">
        <w:rPr>
          <w:rFonts w:ascii="Arial" w:hAnsi="Arial" w:cs="Arial"/>
          <w:sz w:val="24"/>
          <w:szCs w:val="24"/>
        </w:rPr>
        <w:t>Tassajara Springs Water System has</w:t>
      </w:r>
      <w:r w:rsidR="00D068AE">
        <w:rPr>
          <w:rFonts w:ascii="Arial" w:hAnsi="Arial" w:cs="Arial"/>
          <w:sz w:val="24"/>
          <w:szCs w:val="24"/>
        </w:rPr>
        <w:t xml:space="preserve"> </w:t>
      </w:r>
      <w:r w:rsidR="00D068AE" w:rsidRPr="00207448">
        <w:rPr>
          <w:rFonts w:ascii="Arial" w:hAnsi="Arial" w:cs="Arial"/>
          <w:sz w:val="24"/>
          <w:szCs w:val="24"/>
        </w:rPr>
        <w:t>no regular board meetings. Repair and maintenance committee convened and chaired by Physical Plant Manager.</w:t>
      </w:r>
    </w:p>
    <w:p w14:paraId="6CAEC4AE" w14:textId="1B910982" w:rsidR="00CA4234" w:rsidRPr="00207448" w:rsidRDefault="0065365D" w:rsidP="00207448">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A4234" w:rsidRPr="00207448">
        <w:rPr>
          <w:rFonts w:ascii="Arial" w:hAnsi="Arial" w:cs="Arial"/>
          <w:sz w:val="24"/>
          <w:szCs w:val="24"/>
        </w:rPr>
        <w:t>Robert Gregory “Greg” Fain</w:t>
      </w:r>
      <w:r w:rsidR="00CA4234" w:rsidRPr="00207448">
        <w:rPr>
          <w:rFonts w:ascii="Arial" w:hAnsi="Arial" w:cs="Arial"/>
          <w:sz w:val="24"/>
          <w:szCs w:val="24"/>
        </w:rPr>
        <w:t xml:space="preserve"> (831) 659-2229</w:t>
      </w:r>
    </w:p>
    <w:p w14:paraId="291D569C" w14:textId="5CE0C352"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6EECD64" w:rsidR="008572DA" w:rsidRPr="005101E1" w:rsidRDefault="00C87283"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6B522D6" w:rsidR="00095AAC" w:rsidRPr="005101E1" w:rsidRDefault="00C87283"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6400FBC5" w:rsidR="00015E3A" w:rsidRPr="005101E1" w:rsidRDefault="00C87283"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A8C4669" w:rsidR="00015E3A" w:rsidRPr="005101E1" w:rsidRDefault="00C8728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49C579E3" w:rsidR="005D48A3" w:rsidRPr="005101E1" w:rsidRDefault="00C87283"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714390B5" w:rsidR="009E4BDC" w:rsidRPr="005101E1" w:rsidRDefault="00C8728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AA6472F" w:rsidR="008572DA" w:rsidRPr="005F082E" w:rsidRDefault="00C8728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4/3/2019</w:t>
            </w:r>
          </w:p>
        </w:tc>
        <w:tc>
          <w:tcPr>
            <w:tcW w:w="900" w:type="dxa"/>
            <w:tcMar>
              <w:left w:w="86" w:type="dxa"/>
              <w:right w:w="86" w:type="dxa"/>
            </w:tcMar>
          </w:tcPr>
          <w:p w14:paraId="102D5A02" w14:textId="2D40356C" w:rsidR="008572DA" w:rsidRPr="005F082E" w:rsidRDefault="00C8728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3A82E73" w:rsidR="008572DA" w:rsidRPr="005F082E" w:rsidRDefault="00C8728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86" w:type="dxa"/>
              <w:right w:w="86" w:type="dxa"/>
            </w:tcMar>
          </w:tcPr>
          <w:p w14:paraId="308535F4" w14:textId="18D02B73" w:rsidR="008572DA" w:rsidRPr="005F082E" w:rsidRDefault="00C8728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5F8FF35" w:rsidR="008572DA" w:rsidRPr="005F082E" w:rsidRDefault="00D1179A"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37E30796" w:rsidR="00FC33C4" w:rsidRPr="005F082E" w:rsidRDefault="00D1179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4/3/2019</w:t>
            </w:r>
          </w:p>
        </w:tc>
        <w:tc>
          <w:tcPr>
            <w:tcW w:w="900" w:type="dxa"/>
            <w:tcMar>
              <w:left w:w="86" w:type="dxa"/>
              <w:right w:w="86" w:type="dxa"/>
            </w:tcMar>
          </w:tcPr>
          <w:p w14:paraId="42CEE2F3" w14:textId="6C092F17" w:rsidR="00FC33C4" w:rsidRPr="005F082E" w:rsidRDefault="00D1179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33819EB" w:rsidR="00FC33C4" w:rsidRPr="005F082E" w:rsidRDefault="00D1179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86" w:type="dxa"/>
              <w:right w:w="86" w:type="dxa"/>
            </w:tcMar>
          </w:tcPr>
          <w:p w14:paraId="1AE57BBF" w14:textId="77358FEA" w:rsidR="00FC33C4" w:rsidRPr="005F082E" w:rsidRDefault="00D1179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CCC96E3" w:rsidR="00684C7E" w:rsidRPr="005F082E" w:rsidRDefault="0092065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Mar>
              <w:left w:w="58" w:type="dxa"/>
              <w:right w:w="58" w:type="dxa"/>
            </w:tcMar>
          </w:tcPr>
          <w:p w14:paraId="690B0D1C" w14:textId="08FFC24F" w:rsidR="00684C7E" w:rsidRPr="005F082E" w:rsidRDefault="00920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w:t>
            </w:r>
          </w:p>
        </w:tc>
        <w:tc>
          <w:tcPr>
            <w:tcW w:w="1530" w:type="dxa"/>
            <w:tcMar>
              <w:left w:w="58" w:type="dxa"/>
              <w:right w:w="58" w:type="dxa"/>
            </w:tcMar>
          </w:tcPr>
          <w:p w14:paraId="6802CC34" w14:textId="04A0F05F" w:rsidR="00684C7E" w:rsidRPr="005F082E" w:rsidRDefault="00920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316B108" w:rsidR="00684C7E" w:rsidRPr="005F082E" w:rsidRDefault="00920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5/25/21</w:t>
            </w:r>
          </w:p>
        </w:tc>
        <w:tc>
          <w:tcPr>
            <w:tcW w:w="1260" w:type="dxa"/>
            <w:tcMar>
              <w:left w:w="58" w:type="dxa"/>
              <w:right w:w="58" w:type="dxa"/>
            </w:tcMar>
          </w:tcPr>
          <w:p w14:paraId="5F571C45" w14:textId="1D2D6340" w:rsidR="00684C7E" w:rsidRPr="005F082E" w:rsidRDefault="00920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127</w:t>
            </w:r>
          </w:p>
        </w:tc>
        <w:tc>
          <w:tcPr>
            <w:tcW w:w="1530" w:type="dxa"/>
            <w:tcMar>
              <w:left w:w="58" w:type="dxa"/>
              <w:right w:w="58" w:type="dxa"/>
            </w:tcMar>
          </w:tcPr>
          <w:p w14:paraId="2BE476FB" w14:textId="0D86D5BC" w:rsidR="00684C7E" w:rsidRPr="005F082E" w:rsidRDefault="00920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03D7F12" w:rsidR="00512D8C" w:rsidRPr="005F082E" w:rsidRDefault="008C0CC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tc>
        <w:tc>
          <w:tcPr>
            <w:tcW w:w="1440" w:type="dxa"/>
          </w:tcPr>
          <w:p w14:paraId="21F7006B" w14:textId="10DDCFBE"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1BD7CABC" w14:textId="6A7F9229"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8.3 ppb</w:t>
            </w:r>
          </w:p>
        </w:tc>
        <w:tc>
          <w:tcPr>
            <w:tcW w:w="1530" w:type="dxa"/>
          </w:tcPr>
          <w:p w14:paraId="40895B2C" w14:textId="0C6D4F80"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7481E188"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12620F00"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307E6935" w14:textId="0393A596" w:rsidR="00512D8C" w:rsidRPr="005F082E" w:rsidRDefault="008C0CC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AAF59A6" w:rsidR="00244938" w:rsidRPr="005F082E" w:rsidRDefault="008C0CC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w:t>
            </w:r>
          </w:p>
        </w:tc>
        <w:tc>
          <w:tcPr>
            <w:tcW w:w="1440" w:type="dxa"/>
          </w:tcPr>
          <w:p w14:paraId="25EFD446" w14:textId="106E93FF"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7CAF39D9" w14:textId="76D8414A"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 ppb</w:t>
            </w:r>
          </w:p>
        </w:tc>
        <w:tc>
          <w:tcPr>
            <w:tcW w:w="1530" w:type="dxa"/>
          </w:tcPr>
          <w:p w14:paraId="694B316A" w14:textId="000B34A7"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2E744AEC"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BD33183" w14:textId="53B979C2"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701F5E75" w14:textId="596D5DCB" w:rsidR="00244938" w:rsidRPr="005F082E" w:rsidRDefault="008C0CC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5ACD828D" w:rsidR="001F7181" w:rsidRPr="005F082E" w:rsidRDefault="008C0CC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535C6478" w14:textId="04BF0FD3" w:rsidR="001F7181" w:rsidRPr="005F082E" w:rsidRDefault="008C0C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1A872876" w14:textId="1540FB70" w:rsidR="001F7181" w:rsidRPr="005F082E" w:rsidRDefault="008C0C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 ppm</w:t>
            </w:r>
          </w:p>
        </w:tc>
        <w:tc>
          <w:tcPr>
            <w:tcW w:w="1530" w:type="dxa"/>
          </w:tcPr>
          <w:p w14:paraId="4E27FAAD" w14:textId="1F666B0E" w:rsidR="001F7181" w:rsidRPr="005F082E" w:rsidRDefault="008C0CC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3775F595" w:rsidR="001F7181" w:rsidRPr="005F082E"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1A9623BF" w:rsidR="001F7181" w:rsidRPr="005F082E"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6F11B359" w:rsidR="001F7181" w:rsidRPr="005F082E"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F04D6B" w:rsidRPr="005F082E" w14:paraId="19DA8196" w14:textId="77777777" w:rsidTr="00512D8C">
        <w:trPr>
          <w:trHeight w:val="432"/>
        </w:trPr>
        <w:tc>
          <w:tcPr>
            <w:tcW w:w="2245" w:type="dxa"/>
            <w:tcMar>
              <w:left w:w="58" w:type="dxa"/>
              <w:right w:w="58" w:type="dxa"/>
            </w:tcMar>
          </w:tcPr>
          <w:p w14:paraId="0E95DE56" w14:textId="4202E5AA" w:rsidR="00F04D6B" w:rsidRDefault="00F04D6B" w:rsidP="002A5101">
            <w:pPr>
              <w:spacing w:before="40" w:after="40"/>
              <w:ind w:left="30"/>
              <w:jc w:val="both"/>
              <w:rPr>
                <w:rFonts w:ascii="Arial" w:hAnsi="Arial" w:cs="Arial"/>
                <w:color w:val="000000" w:themeColor="text1"/>
                <w:sz w:val="24"/>
                <w:szCs w:val="24"/>
              </w:rPr>
            </w:pPr>
            <w:r w:rsidRPr="00207448">
              <w:rPr>
                <w:rFonts w:ascii="Arial" w:hAnsi="Arial" w:cs="Arial"/>
                <w:color w:val="000000" w:themeColor="text1"/>
                <w:sz w:val="24"/>
                <w:szCs w:val="24"/>
              </w:rPr>
              <w:t>TTHMs [Total Trihalomethanes] (µg/L)</w:t>
            </w:r>
          </w:p>
        </w:tc>
        <w:tc>
          <w:tcPr>
            <w:tcW w:w="1440" w:type="dxa"/>
          </w:tcPr>
          <w:p w14:paraId="267F329B" w14:textId="765B3DB2"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78C521F9" w14:textId="255AD02C"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w:t>
            </w:r>
          </w:p>
        </w:tc>
        <w:tc>
          <w:tcPr>
            <w:tcW w:w="1530" w:type="dxa"/>
          </w:tcPr>
          <w:p w14:paraId="3DB53A1B" w14:textId="29A1736B"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C82DFF8" w14:textId="6AABF601"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73D715D7" w14:textId="5C480954"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D6DD6EA" w14:textId="67F98D6E" w:rsidR="00F04D6B" w:rsidRDefault="00F04D6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207448" w:rsidRPr="005F082E" w14:paraId="465AEB9C" w14:textId="77777777" w:rsidTr="00512D8C">
        <w:trPr>
          <w:trHeight w:val="432"/>
        </w:trPr>
        <w:tc>
          <w:tcPr>
            <w:tcW w:w="2245" w:type="dxa"/>
            <w:tcMar>
              <w:left w:w="58" w:type="dxa"/>
              <w:right w:w="58" w:type="dxa"/>
            </w:tcMar>
          </w:tcPr>
          <w:p w14:paraId="69BB3596" w14:textId="418099B6" w:rsidR="00207448" w:rsidRPr="00207448" w:rsidRDefault="00207448" w:rsidP="002A5101">
            <w:pPr>
              <w:spacing w:before="40" w:after="40"/>
              <w:ind w:left="30"/>
              <w:jc w:val="both"/>
              <w:rPr>
                <w:rFonts w:ascii="Arial" w:hAnsi="Arial" w:cs="Arial"/>
                <w:color w:val="000000" w:themeColor="text1"/>
                <w:sz w:val="24"/>
                <w:szCs w:val="24"/>
              </w:rPr>
            </w:pPr>
            <w:r w:rsidRPr="00207448">
              <w:rPr>
                <w:rFonts w:ascii="Arial" w:hAnsi="Arial" w:cs="Arial"/>
                <w:color w:val="000000" w:themeColor="text1"/>
                <w:sz w:val="24"/>
                <w:szCs w:val="24"/>
              </w:rPr>
              <w:lastRenderedPageBreak/>
              <w:t xml:space="preserve">HAA5 [Sum of 5 </w:t>
            </w:r>
            <w:proofErr w:type="spellStart"/>
            <w:r w:rsidRPr="00207448">
              <w:rPr>
                <w:rFonts w:ascii="Arial" w:hAnsi="Arial" w:cs="Arial"/>
                <w:color w:val="000000" w:themeColor="text1"/>
                <w:sz w:val="24"/>
                <w:szCs w:val="24"/>
              </w:rPr>
              <w:t>Haloacetic</w:t>
            </w:r>
            <w:proofErr w:type="spellEnd"/>
            <w:r w:rsidRPr="00207448">
              <w:rPr>
                <w:rFonts w:ascii="Arial" w:hAnsi="Arial" w:cs="Arial"/>
                <w:color w:val="000000" w:themeColor="text1"/>
                <w:sz w:val="24"/>
                <w:szCs w:val="24"/>
              </w:rPr>
              <w:t xml:space="preserve"> Acids] (µg/L)</w:t>
            </w:r>
          </w:p>
        </w:tc>
        <w:tc>
          <w:tcPr>
            <w:tcW w:w="1440" w:type="dxa"/>
          </w:tcPr>
          <w:p w14:paraId="4E03B387" w14:textId="44805D4D" w:rsidR="00207448" w:rsidRDefault="0020744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7F0B1B6E" w14:textId="0B88259F" w:rsidR="00207448" w:rsidRDefault="0020744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530" w:type="dxa"/>
          </w:tcPr>
          <w:p w14:paraId="68283F8C" w14:textId="65AA8832" w:rsidR="00207448" w:rsidRDefault="0020744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B1ACFF9" w14:textId="2C1656BC" w:rsidR="00207448" w:rsidRDefault="0020744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EA975CB" w14:textId="710F91E3" w:rsidR="00207448" w:rsidRDefault="0020744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618F424" w14:textId="77AF8E8B" w:rsidR="00207448" w:rsidRDefault="00207448" w:rsidP="001F7181">
            <w:pPr>
              <w:spacing w:before="40" w:after="40"/>
              <w:jc w:val="center"/>
              <w:rPr>
                <w:rFonts w:ascii="Arial" w:hAnsi="Arial" w:cs="Arial"/>
                <w:color w:val="000000" w:themeColor="text1"/>
                <w:sz w:val="24"/>
                <w:szCs w:val="24"/>
              </w:rPr>
            </w:pPr>
            <w:r w:rsidRPr="00207448">
              <w:rPr>
                <w:rFonts w:ascii="Arial" w:hAnsi="Arial" w:cs="Arial"/>
                <w:color w:val="000000" w:themeColor="text1"/>
                <w:sz w:val="24"/>
                <w:szCs w:val="24"/>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A139E83" w:rsidR="00086BEB" w:rsidRPr="005F082E" w:rsidRDefault="001C28BA" w:rsidP="00B95707">
            <w:pPr>
              <w:spacing w:before="40" w:after="40"/>
              <w:rPr>
                <w:rFonts w:ascii="Arial" w:hAnsi="Arial" w:cs="Arial"/>
                <w:color w:val="000000" w:themeColor="text1"/>
                <w:sz w:val="24"/>
                <w:szCs w:val="24"/>
              </w:rPr>
            </w:pPr>
            <w:r w:rsidRPr="00B95707">
              <w:rPr>
                <w:rFonts w:ascii="Arial" w:hAnsi="Arial" w:cs="Arial"/>
                <w:color w:val="000000" w:themeColor="text1"/>
                <w:sz w:val="24"/>
                <w:szCs w:val="24"/>
              </w:rPr>
              <w:t>Total Dissolved Solids [TDS]</w:t>
            </w:r>
          </w:p>
        </w:tc>
        <w:tc>
          <w:tcPr>
            <w:tcW w:w="1440" w:type="dxa"/>
          </w:tcPr>
          <w:p w14:paraId="3AB56DE9" w14:textId="08C7AE03" w:rsidR="00086BEB" w:rsidRPr="005F082E" w:rsidRDefault="001C28BA" w:rsidP="00B95707">
            <w:pPr>
              <w:spacing w:before="40" w:after="40"/>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5D465B29" w14:textId="5BB6C02F" w:rsidR="00086BEB" w:rsidRPr="005F082E" w:rsidRDefault="00B95707" w:rsidP="00B95707">
            <w:pPr>
              <w:spacing w:before="40" w:after="40"/>
              <w:rPr>
                <w:rFonts w:ascii="Arial" w:hAnsi="Arial" w:cs="Arial"/>
                <w:color w:val="000000" w:themeColor="text1"/>
                <w:sz w:val="24"/>
                <w:szCs w:val="24"/>
              </w:rPr>
            </w:pPr>
            <w:r>
              <w:rPr>
                <w:rFonts w:ascii="Arial" w:hAnsi="Arial" w:cs="Arial"/>
                <w:color w:val="000000" w:themeColor="text1"/>
                <w:sz w:val="24"/>
                <w:szCs w:val="24"/>
              </w:rPr>
              <w:t>212</w:t>
            </w:r>
          </w:p>
        </w:tc>
        <w:tc>
          <w:tcPr>
            <w:tcW w:w="1530" w:type="dxa"/>
          </w:tcPr>
          <w:p w14:paraId="6F2413BA" w14:textId="3F5A0E54" w:rsidR="00086BEB" w:rsidRPr="005F082E" w:rsidRDefault="00B957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A344B60" w:rsidR="00086BEB" w:rsidRPr="005F082E" w:rsidRDefault="00B957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533C8B7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D40A7D5" w:rsidR="00086BEB" w:rsidRPr="005F082E" w:rsidRDefault="00B957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0DBE2E5B" w:rsidR="00086BEB" w:rsidRPr="005F082E" w:rsidRDefault="00B95707" w:rsidP="005B06AD">
            <w:pPr>
              <w:spacing w:before="40" w:after="40"/>
              <w:rPr>
                <w:rFonts w:ascii="Arial" w:hAnsi="Arial" w:cs="Arial"/>
                <w:color w:val="000000" w:themeColor="text1"/>
                <w:sz w:val="24"/>
                <w:szCs w:val="24"/>
              </w:rPr>
            </w:pPr>
            <w:r w:rsidRPr="005B06AD">
              <w:rPr>
                <w:rFonts w:ascii="Arial" w:hAnsi="Arial" w:cs="Arial"/>
                <w:color w:val="000000" w:themeColor="text1"/>
                <w:sz w:val="24"/>
                <w:szCs w:val="24"/>
              </w:rPr>
              <w:t>Specific Conductance</w:t>
            </w:r>
          </w:p>
        </w:tc>
        <w:tc>
          <w:tcPr>
            <w:tcW w:w="1440" w:type="dxa"/>
          </w:tcPr>
          <w:p w14:paraId="13425507" w14:textId="3CDCCE22" w:rsidR="00086BEB" w:rsidRPr="005F082E" w:rsidRDefault="00B95707" w:rsidP="005B06AD">
            <w:pPr>
              <w:spacing w:before="40" w:after="40"/>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72C49EEB" w14:textId="6B4CC162" w:rsidR="00086BEB" w:rsidRPr="005F082E" w:rsidRDefault="00B957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319</w:t>
            </w:r>
          </w:p>
        </w:tc>
        <w:tc>
          <w:tcPr>
            <w:tcW w:w="1530" w:type="dxa"/>
          </w:tcPr>
          <w:p w14:paraId="7C11921B" w14:textId="3DC7C814" w:rsidR="00086BEB" w:rsidRPr="005F082E" w:rsidRDefault="00B957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4C57058C" w:rsidR="00086BEB" w:rsidRPr="005F082E" w:rsidRDefault="005B06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900</w:t>
            </w:r>
          </w:p>
        </w:tc>
        <w:tc>
          <w:tcPr>
            <w:tcW w:w="1170" w:type="dxa"/>
          </w:tcPr>
          <w:p w14:paraId="489C42D6" w14:textId="417CA89F"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4034AD0" w:rsidR="00086BEB" w:rsidRPr="005F082E" w:rsidRDefault="005B06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w:t>
            </w:r>
          </w:p>
        </w:tc>
      </w:tr>
      <w:tr w:rsidR="00086BEB" w:rsidRPr="005F082E" w14:paraId="18FA2C38" w14:textId="77777777" w:rsidTr="00640D92">
        <w:trPr>
          <w:trHeight w:val="432"/>
        </w:trPr>
        <w:tc>
          <w:tcPr>
            <w:tcW w:w="2245" w:type="dxa"/>
          </w:tcPr>
          <w:p w14:paraId="39D2E538" w14:textId="1D9E5E3B" w:rsidR="00086BEB" w:rsidRPr="005F082E" w:rsidRDefault="005B06AD" w:rsidP="005B06AD">
            <w:pPr>
              <w:spacing w:before="40" w:after="40"/>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6AB05BED" w14:textId="6277421C" w:rsidR="00086BEB" w:rsidRPr="005F082E" w:rsidRDefault="005B06AD" w:rsidP="005B06AD">
            <w:pPr>
              <w:spacing w:before="40" w:after="40"/>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0AC370FD" w14:textId="6FD328A6" w:rsidR="00086BEB" w:rsidRPr="005F082E" w:rsidRDefault="005B06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6.5 ppm</w:t>
            </w:r>
          </w:p>
        </w:tc>
        <w:tc>
          <w:tcPr>
            <w:tcW w:w="1530" w:type="dxa"/>
          </w:tcPr>
          <w:p w14:paraId="06D23DE1" w14:textId="375AE6ED" w:rsidR="00086BEB" w:rsidRPr="005F082E" w:rsidRDefault="005B06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3355E5D0" w:rsidR="00086BEB" w:rsidRPr="005F082E" w:rsidRDefault="005B06A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15E379B"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0A797714" w:rsidR="00086BEB" w:rsidRPr="005F082E" w:rsidRDefault="005B06AD" w:rsidP="00086BEB">
            <w:pPr>
              <w:spacing w:before="40" w:after="40"/>
              <w:rPr>
                <w:rFonts w:ascii="Arial" w:hAnsi="Arial" w:cs="Arial"/>
                <w:color w:val="000000" w:themeColor="text1"/>
                <w:sz w:val="24"/>
                <w:szCs w:val="24"/>
              </w:rPr>
            </w:pPr>
            <w:r w:rsidRPr="005B06AD">
              <w:rPr>
                <w:rFonts w:ascii="Arial" w:hAnsi="Arial" w:cs="Arial"/>
                <w:color w:val="000000" w:themeColor="text1"/>
                <w:sz w:val="24"/>
                <w:szCs w:val="24"/>
              </w:rPr>
              <w:t>Runoff/leaching from natural deposits</w:t>
            </w:r>
          </w:p>
        </w:tc>
      </w:tr>
      <w:tr w:rsidR="002D4E79" w:rsidRPr="005F082E" w14:paraId="5428DD94" w14:textId="77777777" w:rsidTr="00640D92">
        <w:trPr>
          <w:trHeight w:val="432"/>
        </w:trPr>
        <w:tc>
          <w:tcPr>
            <w:tcW w:w="2245" w:type="dxa"/>
          </w:tcPr>
          <w:p w14:paraId="0F0F8489" w14:textId="11F86FEE" w:rsidR="002D4E79" w:rsidRDefault="002D4E79" w:rsidP="005B06AD">
            <w:pPr>
              <w:spacing w:before="40" w:after="40"/>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15C3324" w14:textId="301702DC" w:rsidR="002D4E79" w:rsidRDefault="002D4E79" w:rsidP="005B06AD">
            <w:pPr>
              <w:spacing w:before="40" w:after="40"/>
              <w:rPr>
                <w:rFonts w:ascii="Arial" w:hAnsi="Arial" w:cs="Arial"/>
                <w:color w:val="000000" w:themeColor="text1"/>
                <w:sz w:val="24"/>
                <w:szCs w:val="24"/>
              </w:rPr>
            </w:pPr>
            <w:r>
              <w:rPr>
                <w:rFonts w:ascii="Arial" w:hAnsi="Arial" w:cs="Arial"/>
                <w:color w:val="000000" w:themeColor="text1"/>
                <w:sz w:val="24"/>
                <w:szCs w:val="24"/>
              </w:rPr>
              <w:t>5/25/21</w:t>
            </w:r>
          </w:p>
        </w:tc>
        <w:tc>
          <w:tcPr>
            <w:tcW w:w="1260" w:type="dxa"/>
          </w:tcPr>
          <w:p w14:paraId="2922CED6" w14:textId="4A00B872" w:rsidR="002D4E79" w:rsidRDefault="002D4E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63 ppm</w:t>
            </w:r>
          </w:p>
        </w:tc>
        <w:tc>
          <w:tcPr>
            <w:tcW w:w="1530" w:type="dxa"/>
          </w:tcPr>
          <w:p w14:paraId="3765AAA7" w14:textId="7AA3C8AA" w:rsidR="002D4E79" w:rsidRDefault="002D4E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250AA60" w14:textId="40D427CA" w:rsidR="002D4E79" w:rsidRDefault="002D4E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7BA4F951" w14:textId="77777777" w:rsidR="002D4E79" w:rsidRPr="005F082E" w:rsidRDefault="002D4E79" w:rsidP="00086BEB">
            <w:pPr>
              <w:spacing w:before="40" w:after="40"/>
              <w:rPr>
                <w:rFonts w:ascii="Arial" w:hAnsi="Arial" w:cs="Arial"/>
                <w:color w:val="000000" w:themeColor="text1"/>
                <w:sz w:val="24"/>
                <w:szCs w:val="24"/>
              </w:rPr>
            </w:pPr>
          </w:p>
        </w:tc>
        <w:tc>
          <w:tcPr>
            <w:tcW w:w="2291" w:type="dxa"/>
          </w:tcPr>
          <w:p w14:paraId="02FD8D78" w14:textId="260748A6" w:rsidR="002D4E79" w:rsidRPr="005B06AD" w:rsidRDefault="002D4E79" w:rsidP="00086BEB">
            <w:pPr>
              <w:spacing w:before="40" w:after="40"/>
              <w:rPr>
                <w:rFonts w:ascii="Arial" w:hAnsi="Arial" w:cs="Arial"/>
                <w:color w:val="000000" w:themeColor="text1"/>
                <w:sz w:val="24"/>
                <w:szCs w:val="24"/>
              </w:rPr>
            </w:pPr>
            <w:r w:rsidRPr="002D4E79">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2D4E79" w:rsidRPr="005F082E" w14:paraId="2B79684C" w14:textId="77777777" w:rsidTr="000B13FC">
        <w:trPr>
          <w:trHeight w:val="440"/>
        </w:trPr>
        <w:tc>
          <w:tcPr>
            <w:tcW w:w="2245" w:type="dxa"/>
            <w:vAlign w:val="center"/>
          </w:tcPr>
          <w:p w14:paraId="2DD968CC" w14:textId="46B80EF9" w:rsidR="002D4E79" w:rsidRPr="005F082E" w:rsidRDefault="002D4E79" w:rsidP="00875407">
            <w:pPr>
              <w:keepNext/>
              <w:widowControl w:val="0"/>
              <w:spacing w:before="40" w:after="40"/>
              <w:jc w:val="center"/>
              <w:rPr>
                <w:rFonts w:ascii="Arial" w:hAnsi="Arial" w:cs="Arial"/>
                <w:b/>
                <w:sz w:val="24"/>
                <w:szCs w:val="24"/>
              </w:rPr>
            </w:pPr>
            <w:r>
              <w:rPr>
                <w:rFonts w:ascii="Arial" w:hAnsi="Arial" w:cs="Arial"/>
                <w:b/>
                <w:sz w:val="24"/>
                <w:szCs w:val="24"/>
              </w:rPr>
              <w:t>None Detected</w:t>
            </w:r>
          </w:p>
        </w:tc>
        <w:tc>
          <w:tcPr>
            <w:tcW w:w="1440" w:type="dxa"/>
            <w:vAlign w:val="center"/>
          </w:tcPr>
          <w:p w14:paraId="08962651" w14:textId="77777777" w:rsidR="002D4E79" w:rsidRPr="005F082E" w:rsidRDefault="002D4E79" w:rsidP="00875407">
            <w:pPr>
              <w:keepNext/>
              <w:widowControl w:val="0"/>
              <w:spacing w:before="40" w:after="40"/>
              <w:jc w:val="center"/>
              <w:rPr>
                <w:rFonts w:ascii="Arial" w:hAnsi="Arial" w:cs="Arial"/>
                <w:b/>
                <w:sz w:val="24"/>
                <w:szCs w:val="24"/>
              </w:rPr>
            </w:pPr>
          </w:p>
        </w:tc>
        <w:tc>
          <w:tcPr>
            <w:tcW w:w="1350" w:type="dxa"/>
            <w:vAlign w:val="center"/>
          </w:tcPr>
          <w:p w14:paraId="03489A7E" w14:textId="77777777" w:rsidR="002D4E79" w:rsidRPr="005F082E" w:rsidRDefault="002D4E79" w:rsidP="00875407">
            <w:pPr>
              <w:keepNext/>
              <w:widowControl w:val="0"/>
              <w:spacing w:before="40" w:after="40"/>
              <w:jc w:val="center"/>
              <w:rPr>
                <w:rFonts w:ascii="Arial" w:hAnsi="Arial" w:cs="Arial"/>
                <w:b/>
                <w:sz w:val="24"/>
                <w:szCs w:val="24"/>
              </w:rPr>
            </w:pPr>
          </w:p>
        </w:tc>
        <w:tc>
          <w:tcPr>
            <w:tcW w:w="1530" w:type="dxa"/>
            <w:vAlign w:val="center"/>
          </w:tcPr>
          <w:p w14:paraId="135B7592" w14:textId="77777777" w:rsidR="002D4E79" w:rsidRPr="005F082E" w:rsidRDefault="002D4E79" w:rsidP="00875407">
            <w:pPr>
              <w:keepNext/>
              <w:widowControl w:val="0"/>
              <w:spacing w:before="40" w:after="40"/>
              <w:jc w:val="center"/>
              <w:rPr>
                <w:rFonts w:ascii="Arial" w:hAnsi="Arial" w:cs="Arial"/>
                <w:b/>
                <w:sz w:val="24"/>
                <w:szCs w:val="24"/>
              </w:rPr>
            </w:pPr>
          </w:p>
        </w:tc>
        <w:tc>
          <w:tcPr>
            <w:tcW w:w="1800" w:type="dxa"/>
            <w:vAlign w:val="center"/>
          </w:tcPr>
          <w:p w14:paraId="36BA1272" w14:textId="77777777" w:rsidR="002D4E79" w:rsidRPr="005F082E" w:rsidRDefault="002D4E79" w:rsidP="00875407">
            <w:pPr>
              <w:keepNext/>
              <w:widowControl w:val="0"/>
              <w:spacing w:before="40" w:after="40"/>
              <w:jc w:val="center"/>
              <w:rPr>
                <w:rFonts w:ascii="Arial" w:hAnsi="Arial" w:cs="Arial"/>
                <w:b/>
                <w:sz w:val="24"/>
                <w:szCs w:val="24"/>
              </w:rPr>
            </w:pPr>
          </w:p>
        </w:tc>
        <w:tc>
          <w:tcPr>
            <w:tcW w:w="2471" w:type="dxa"/>
            <w:vAlign w:val="center"/>
          </w:tcPr>
          <w:p w14:paraId="1B6276EF" w14:textId="77777777" w:rsidR="002D4E79" w:rsidRPr="005F082E" w:rsidRDefault="002D4E79" w:rsidP="00875407">
            <w:pPr>
              <w:keepNext/>
              <w:widowControl w:val="0"/>
              <w:spacing w:before="40" w:after="40"/>
              <w:jc w:val="center"/>
              <w:rPr>
                <w:rFonts w:ascii="Arial" w:hAnsi="Arial" w:cs="Arial"/>
                <w:b/>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w:t>
      </w:r>
      <w:r w:rsidRPr="005F082E">
        <w:rPr>
          <w:rFonts w:ascii="Arial" w:hAnsi="Arial" w:cs="Arial"/>
          <w:bCs/>
          <w:sz w:val="24"/>
          <w:szCs w:val="24"/>
        </w:rPr>
        <w:lastRenderedPageBreak/>
        <w:t>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2D4E79" w:rsidRPr="005F082E" w14:paraId="59D8AD6F" w14:textId="77777777" w:rsidTr="007C0BEA">
        <w:trPr>
          <w:trHeight w:val="457"/>
        </w:trPr>
        <w:tc>
          <w:tcPr>
            <w:tcW w:w="1975" w:type="dxa"/>
            <w:tcMar>
              <w:left w:w="58" w:type="dxa"/>
              <w:right w:w="58" w:type="dxa"/>
            </w:tcMar>
            <w:vAlign w:val="center"/>
          </w:tcPr>
          <w:p w14:paraId="4213287D" w14:textId="2605D4B0" w:rsidR="002D4E79" w:rsidRPr="005F082E" w:rsidRDefault="002D4E79" w:rsidP="000B13FC">
            <w:pPr>
              <w:spacing w:before="40" w:after="40"/>
              <w:jc w:val="center"/>
              <w:rPr>
                <w:rFonts w:ascii="Arial" w:hAnsi="Arial" w:cs="Arial"/>
                <w:b/>
                <w:sz w:val="24"/>
                <w:szCs w:val="24"/>
              </w:rPr>
            </w:pPr>
            <w:r>
              <w:rPr>
                <w:rFonts w:ascii="Arial" w:hAnsi="Arial" w:cs="Arial"/>
                <w:b/>
                <w:sz w:val="24"/>
                <w:szCs w:val="24"/>
              </w:rPr>
              <w:t>N/A</w:t>
            </w:r>
          </w:p>
        </w:tc>
        <w:tc>
          <w:tcPr>
            <w:tcW w:w="2250" w:type="dxa"/>
            <w:tcMar>
              <w:left w:w="58" w:type="dxa"/>
              <w:right w:w="58" w:type="dxa"/>
            </w:tcMar>
            <w:vAlign w:val="center"/>
          </w:tcPr>
          <w:p w14:paraId="74050DD0" w14:textId="77777777" w:rsidR="002D4E79" w:rsidRPr="005F082E" w:rsidRDefault="002D4E79" w:rsidP="000B13FC">
            <w:pPr>
              <w:spacing w:before="40" w:after="40"/>
              <w:jc w:val="center"/>
              <w:rPr>
                <w:rFonts w:ascii="Arial" w:hAnsi="Arial" w:cs="Arial"/>
                <w:b/>
                <w:sz w:val="24"/>
                <w:szCs w:val="24"/>
              </w:rPr>
            </w:pPr>
          </w:p>
        </w:tc>
        <w:tc>
          <w:tcPr>
            <w:tcW w:w="1890" w:type="dxa"/>
            <w:tcMar>
              <w:left w:w="58" w:type="dxa"/>
              <w:right w:w="58" w:type="dxa"/>
            </w:tcMar>
            <w:vAlign w:val="center"/>
          </w:tcPr>
          <w:p w14:paraId="00EFCC91" w14:textId="77777777" w:rsidR="002D4E79" w:rsidRPr="005F082E" w:rsidRDefault="002D4E79" w:rsidP="000B13FC">
            <w:pPr>
              <w:spacing w:before="40" w:after="40"/>
              <w:jc w:val="center"/>
              <w:rPr>
                <w:rFonts w:ascii="Arial" w:hAnsi="Arial" w:cs="Arial"/>
                <w:b/>
                <w:sz w:val="24"/>
                <w:szCs w:val="24"/>
              </w:rPr>
            </w:pPr>
          </w:p>
        </w:tc>
        <w:tc>
          <w:tcPr>
            <w:tcW w:w="2160" w:type="dxa"/>
            <w:tcMar>
              <w:left w:w="58" w:type="dxa"/>
              <w:right w:w="58" w:type="dxa"/>
            </w:tcMar>
            <w:vAlign w:val="center"/>
          </w:tcPr>
          <w:p w14:paraId="0A878EA7" w14:textId="77777777" w:rsidR="002D4E79" w:rsidRPr="005F082E" w:rsidRDefault="002D4E79" w:rsidP="000B13FC">
            <w:pPr>
              <w:spacing w:before="40" w:after="40"/>
              <w:jc w:val="center"/>
              <w:rPr>
                <w:rFonts w:ascii="Arial" w:hAnsi="Arial" w:cs="Arial"/>
                <w:b/>
                <w:sz w:val="24"/>
                <w:szCs w:val="24"/>
              </w:rPr>
            </w:pPr>
          </w:p>
        </w:tc>
        <w:tc>
          <w:tcPr>
            <w:tcW w:w="2367" w:type="dxa"/>
            <w:tcMar>
              <w:left w:w="58" w:type="dxa"/>
              <w:right w:w="58" w:type="dxa"/>
            </w:tcMar>
            <w:vAlign w:val="center"/>
          </w:tcPr>
          <w:p w14:paraId="0D784416" w14:textId="77777777" w:rsidR="002D4E79" w:rsidRPr="005F082E" w:rsidRDefault="002D4E79" w:rsidP="000B13FC">
            <w:pPr>
              <w:spacing w:before="40" w:after="40"/>
              <w:jc w:val="center"/>
              <w:rPr>
                <w:rFonts w:ascii="Arial" w:hAnsi="Arial" w:cs="Arial"/>
                <w:b/>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3DE666F" w:rsidR="001F503E" w:rsidRPr="005F082E" w:rsidRDefault="009403F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1F31CDD" w:rsidR="00E80EE7" w:rsidRPr="005F082E" w:rsidRDefault="009403F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C6A846A" w:rsidR="001F503E" w:rsidRPr="005F082E" w:rsidRDefault="009403F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EA38AE5" w:rsidR="001F7181" w:rsidRPr="005F082E" w:rsidRDefault="009403F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D16F824" w:rsidR="001F503E" w:rsidRPr="005F082E" w:rsidRDefault="009403F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FFDAD74" w:rsidR="001F7181" w:rsidRPr="005F082E" w:rsidRDefault="009403F7"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403F7" w:rsidRPr="005F082E" w14:paraId="5A8DC8DB" w14:textId="77777777" w:rsidTr="00BD70F3">
        <w:trPr>
          <w:trHeight w:val="457"/>
        </w:trPr>
        <w:tc>
          <w:tcPr>
            <w:tcW w:w="1975" w:type="dxa"/>
            <w:tcMar>
              <w:left w:w="58" w:type="dxa"/>
              <w:right w:w="58" w:type="dxa"/>
            </w:tcMar>
            <w:vAlign w:val="center"/>
          </w:tcPr>
          <w:p w14:paraId="7AC0F919" w14:textId="28271E17" w:rsidR="009403F7" w:rsidRPr="005F082E" w:rsidRDefault="009403F7" w:rsidP="00B47ED5">
            <w:pPr>
              <w:keepNext/>
              <w:spacing w:before="40" w:after="40"/>
              <w:jc w:val="center"/>
              <w:rPr>
                <w:rFonts w:ascii="Arial" w:hAnsi="Arial" w:cs="Arial"/>
                <w:b/>
                <w:sz w:val="24"/>
                <w:szCs w:val="24"/>
              </w:rPr>
            </w:pPr>
            <w:r>
              <w:rPr>
                <w:rFonts w:ascii="Arial" w:hAnsi="Arial" w:cs="Arial"/>
                <w:b/>
                <w:sz w:val="24"/>
                <w:szCs w:val="24"/>
              </w:rPr>
              <w:t>N/A</w:t>
            </w:r>
          </w:p>
        </w:tc>
        <w:tc>
          <w:tcPr>
            <w:tcW w:w="2250" w:type="dxa"/>
            <w:tcMar>
              <w:left w:w="58" w:type="dxa"/>
              <w:right w:w="58" w:type="dxa"/>
            </w:tcMar>
            <w:vAlign w:val="center"/>
          </w:tcPr>
          <w:p w14:paraId="582133E9" w14:textId="77777777" w:rsidR="009403F7" w:rsidRPr="005F082E" w:rsidRDefault="009403F7" w:rsidP="00B47ED5">
            <w:pPr>
              <w:keepNext/>
              <w:spacing w:before="40" w:after="40"/>
              <w:jc w:val="center"/>
              <w:rPr>
                <w:rFonts w:ascii="Arial" w:hAnsi="Arial" w:cs="Arial"/>
                <w:b/>
                <w:sz w:val="24"/>
                <w:szCs w:val="24"/>
              </w:rPr>
            </w:pPr>
          </w:p>
        </w:tc>
        <w:tc>
          <w:tcPr>
            <w:tcW w:w="1890" w:type="dxa"/>
            <w:tcMar>
              <w:left w:w="58" w:type="dxa"/>
              <w:right w:w="58" w:type="dxa"/>
            </w:tcMar>
            <w:vAlign w:val="center"/>
          </w:tcPr>
          <w:p w14:paraId="0CD146FE" w14:textId="77777777" w:rsidR="009403F7" w:rsidRPr="005F082E" w:rsidRDefault="009403F7" w:rsidP="00B47ED5">
            <w:pPr>
              <w:keepNext/>
              <w:spacing w:before="40" w:after="40"/>
              <w:jc w:val="center"/>
              <w:rPr>
                <w:rFonts w:ascii="Arial" w:hAnsi="Arial" w:cs="Arial"/>
                <w:b/>
                <w:sz w:val="24"/>
                <w:szCs w:val="24"/>
              </w:rPr>
            </w:pPr>
          </w:p>
        </w:tc>
        <w:tc>
          <w:tcPr>
            <w:tcW w:w="2160" w:type="dxa"/>
            <w:tcMar>
              <w:left w:w="58" w:type="dxa"/>
              <w:right w:w="58" w:type="dxa"/>
            </w:tcMar>
            <w:vAlign w:val="center"/>
          </w:tcPr>
          <w:p w14:paraId="539D2D7A" w14:textId="77777777" w:rsidR="009403F7" w:rsidRPr="005F082E" w:rsidRDefault="009403F7" w:rsidP="00B47ED5">
            <w:pPr>
              <w:keepNext/>
              <w:spacing w:before="40" w:after="40"/>
              <w:jc w:val="center"/>
              <w:rPr>
                <w:rFonts w:ascii="Arial" w:hAnsi="Arial" w:cs="Arial"/>
                <w:b/>
                <w:sz w:val="24"/>
                <w:szCs w:val="24"/>
              </w:rPr>
            </w:pPr>
          </w:p>
        </w:tc>
        <w:tc>
          <w:tcPr>
            <w:tcW w:w="2367" w:type="dxa"/>
            <w:tcMar>
              <w:left w:w="58" w:type="dxa"/>
              <w:right w:w="58" w:type="dxa"/>
            </w:tcMar>
            <w:vAlign w:val="center"/>
          </w:tcPr>
          <w:p w14:paraId="4FE68BCB" w14:textId="77777777" w:rsidR="009403F7" w:rsidRPr="005F082E" w:rsidRDefault="009403F7" w:rsidP="00B47ED5">
            <w:pPr>
              <w:keepNext/>
              <w:spacing w:before="40" w:after="40"/>
              <w:jc w:val="center"/>
              <w:rPr>
                <w:rFonts w:ascii="Arial" w:hAnsi="Arial" w:cs="Arial"/>
                <w:b/>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7FB3DE2" w:rsidR="00E80EE7" w:rsidRPr="005F082E" w:rsidRDefault="00834C16"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Slow sand filtration and </w:t>
            </w:r>
            <w:proofErr w:type="spellStart"/>
            <w:r>
              <w:rPr>
                <w:rFonts w:ascii="Arial" w:hAnsi="Arial" w:cs="Arial"/>
                <w:color w:val="000000" w:themeColor="text1"/>
                <w:sz w:val="24"/>
                <w:szCs w:val="24"/>
              </w:rPr>
              <w:t>hypochlorination</w:t>
            </w:r>
            <w:proofErr w:type="spellEnd"/>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77E74C3E"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AF5269">
              <w:rPr>
                <w:rFonts w:ascii="Arial" w:hAnsi="Arial" w:cs="Arial"/>
                <w:bCs/>
                <w:sz w:val="24"/>
                <w:szCs w:val="24"/>
              </w:rPr>
              <w:t>1.0</w:t>
            </w:r>
            <w:r w:rsidRPr="005F082E">
              <w:rPr>
                <w:rFonts w:ascii="Arial" w:hAnsi="Arial" w:cs="Arial"/>
                <w:bCs/>
                <w:sz w:val="24"/>
                <w:szCs w:val="24"/>
              </w:rPr>
              <w:t xml:space="preserve"> NTU in 95% of measurements in a month.</w:t>
            </w:r>
          </w:p>
          <w:p w14:paraId="3FDD0942" w14:textId="677683EC" w:rsidR="00E80EE7" w:rsidRPr="005F082E" w:rsidRDefault="00AF5269" w:rsidP="00E80EE7">
            <w:pPr>
              <w:pStyle w:val="BodyText"/>
              <w:spacing w:before="40" w:after="40"/>
              <w:jc w:val="left"/>
              <w:rPr>
                <w:rFonts w:ascii="Arial" w:hAnsi="Arial" w:cs="Arial"/>
                <w:bCs/>
                <w:sz w:val="24"/>
                <w:szCs w:val="24"/>
              </w:rPr>
            </w:pPr>
            <w:r>
              <w:rPr>
                <w:rFonts w:ascii="Arial" w:hAnsi="Arial" w:cs="Arial"/>
                <w:bCs/>
                <w:sz w:val="24"/>
                <w:szCs w:val="24"/>
              </w:rPr>
              <w:t>2</w:t>
            </w:r>
            <w:r w:rsidR="00E80EE7" w:rsidRPr="005F082E">
              <w:rPr>
                <w:rFonts w:ascii="Arial" w:hAnsi="Arial" w:cs="Arial"/>
                <w:bCs/>
                <w:sz w:val="24"/>
                <w:szCs w:val="24"/>
              </w:rPr>
              <w:t xml:space="preserve"> – Not exceed </w:t>
            </w:r>
            <w:r>
              <w:rPr>
                <w:rFonts w:ascii="Arial" w:hAnsi="Arial" w:cs="Arial"/>
                <w:bCs/>
                <w:sz w:val="24"/>
                <w:szCs w:val="24"/>
              </w:rPr>
              <w:t>5</w:t>
            </w:r>
            <w:r w:rsidR="00E80EE7"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1E0A270" w:rsidR="00E80EE7" w:rsidRPr="005F082E" w:rsidRDefault="00834C1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B6E2DE1" w:rsidR="00E80EE7" w:rsidRPr="005F082E" w:rsidRDefault="00155BD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0.31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8A236A5" w:rsidR="00E80EE7" w:rsidRPr="005F082E" w:rsidRDefault="00155BD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EBBF834" w:rsidR="00496939" w:rsidRPr="005F082E" w:rsidRDefault="009403F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5C2D8B20"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A3F3938"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682F71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94D9D06" w:rsidR="00496939" w:rsidRPr="005F082E" w:rsidRDefault="00496939" w:rsidP="00496939">
            <w:pPr>
              <w:spacing w:before="40" w:after="40"/>
              <w:rPr>
                <w:rFonts w:ascii="Arial" w:hAnsi="Arial" w:cs="Arial"/>
                <w:color w:val="FFFFFF" w:themeColor="background1"/>
                <w:sz w:val="24"/>
                <w:szCs w:val="24"/>
              </w:rPr>
            </w:pPr>
          </w:p>
        </w:tc>
      </w:tr>
      <w:bookmarkEnd w:id="14"/>
      <w:bookmarkEnd w:id="15"/>
    </w:tbl>
    <w:p w14:paraId="2C586EA6" w14:textId="218DB218"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5EF9" w14:textId="77777777" w:rsidR="00BA0383" w:rsidRDefault="00BA0383">
      <w:r>
        <w:separator/>
      </w:r>
    </w:p>
    <w:p w14:paraId="5E4A6533" w14:textId="77777777" w:rsidR="00BA0383" w:rsidRDefault="00BA0383"/>
  </w:endnote>
  <w:endnote w:type="continuationSeparator" w:id="0">
    <w:p w14:paraId="4EECDBC8" w14:textId="77777777" w:rsidR="00BA0383" w:rsidRDefault="00BA0383">
      <w:r>
        <w:continuationSeparator/>
      </w:r>
    </w:p>
    <w:p w14:paraId="6FB8696F" w14:textId="77777777" w:rsidR="00BA0383" w:rsidRDefault="00BA0383"/>
  </w:endnote>
  <w:endnote w:type="continuationNotice" w:id="1">
    <w:p w14:paraId="0F7CB501" w14:textId="77777777" w:rsidR="00BA0383" w:rsidRDefault="00BA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80B0" w14:textId="77777777" w:rsidR="00BA0383" w:rsidRDefault="00BA0383">
      <w:r>
        <w:separator/>
      </w:r>
    </w:p>
    <w:p w14:paraId="1C6EDFB1" w14:textId="77777777" w:rsidR="00BA0383" w:rsidRDefault="00BA0383"/>
  </w:footnote>
  <w:footnote w:type="continuationSeparator" w:id="0">
    <w:p w14:paraId="5D9581AA" w14:textId="77777777" w:rsidR="00BA0383" w:rsidRDefault="00BA0383">
      <w:r>
        <w:continuationSeparator/>
      </w:r>
    </w:p>
    <w:p w14:paraId="4B9C44FA" w14:textId="77777777" w:rsidR="00BA0383" w:rsidRDefault="00BA0383"/>
  </w:footnote>
  <w:footnote w:type="continuationNotice" w:id="1">
    <w:p w14:paraId="6D4F2C43" w14:textId="77777777" w:rsidR="00BA0383" w:rsidRDefault="00BA0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4991907">
    <w:abstractNumId w:val="6"/>
  </w:num>
  <w:num w:numId="2" w16cid:durableId="35395988">
    <w:abstractNumId w:val="1"/>
  </w:num>
  <w:num w:numId="3" w16cid:durableId="834759296">
    <w:abstractNumId w:val="3"/>
  </w:num>
  <w:num w:numId="4" w16cid:durableId="2085640345">
    <w:abstractNumId w:val="0"/>
  </w:num>
  <w:num w:numId="5" w16cid:durableId="123012175">
    <w:abstractNumId w:val="2"/>
  </w:num>
  <w:num w:numId="6" w16cid:durableId="1870340301">
    <w:abstractNumId w:val="5"/>
  </w:num>
  <w:num w:numId="7" w16cid:durableId="187638095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BD8"/>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28BA"/>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714E"/>
    <w:rsid w:val="00207448"/>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4E79"/>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D09"/>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6A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4C16"/>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0CCE"/>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065E"/>
    <w:rsid w:val="00921C44"/>
    <w:rsid w:val="0092687A"/>
    <w:rsid w:val="009278E1"/>
    <w:rsid w:val="00933266"/>
    <w:rsid w:val="00934D1D"/>
    <w:rsid w:val="00936C4A"/>
    <w:rsid w:val="00937B7B"/>
    <w:rsid w:val="009403F7"/>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269"/>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5707"/>
    <w:rsid w:val="00B96EC8"/>
    <w:rsid w:val="00BA0383"/>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7283"/>
    <w:rsid w:val="00C945A7"/>
    <w:rsid w:val="00C94DAA"/>
    <w:rsid w:val="00C952C9"/>
    <w:rsid w:val="00C96627"/>
    <w:rsid w:val="00CA1B53"/>
    <w:rsid w:val="00CA4234"/>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68AE"/>
    <w:rsid w:val="00D07E1D"/>
    <w:rsid w:val="00D10A7C"/>
    <w:rsid w:val="00D1179A"/>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D6B"/>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Greg Fain</cp:lastModifiedBy>
  <cp:revision>3</cp:revision>
  <cp:lastPrinted>2021-02-24T23:35:00Z</cp:lastPrinted>
  <dcterms:created xsi:type="dcterms:W3CDTF">2022-06-28T21:44:00Z</dcterms:created>
  <dcterms:modified xsi:type="dcterms:W3CDTF">2022-06-29T18:18:00Z</dcterms:modified>
</cp:coreProperties>
</file>