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jc w:val="center"/>
        <w:rPr/>
      </w:pPr>
      <w:bookmarkStart w:id="0" w:name="_Toc58336712"/>
      <w:r>
        <w:rPr>
          <w:highlight w:val="yellow"/>
        </w:rPr>
        <w:t>2025</w:t>
      </w:r>
      <w:r>
        <w:rPr/>
        <w:t xml:space="preserve">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Water System Name: Leggett Valley School</w:t>
      </w:r>
    </w:p>
    <w:p>
      <w:pPr>
        <w:pStyle w:val="Normal"/>
        <w:spacing w:before="0" w:after="240"/>
        <w:rPr>
          <w:rFonts w:ascii="Arial" w:hAnsi="Arial" w:cs="Arial"/>
          <w:sz w:val="24"/>
          <w:szCs w:val="24"/>
        </w:rPr>
      </w:pPr>
      <w:r>
        <w:rPr>
          <w:rFonts w:cs="Arial" w:ascii="Arial" w:hAnsi="Arial"/>
          <w:sz w:val="24"/>
          <w:szCs w:val="24"/>
        </w:rPr>
        <w:t>Report Date: 02/12/26</w:t>
      </w:r>
    </w:p>
    <w:p>
      <w:pPr>
        <w:pStyle w:val="Normal"/>
        <w:spacing w:before="0" w:after="240"/>
        <w:rPr>
          <w:rFonts w:ascii="Arial" w:hAnsi="Arial" w:cs="Arial"/>
          <w:sz w:val="24"/>
          <w:szCs w:val="24"/>
        </w:rPr>
      </w:pPr>
      <w:r>
        <w:rPr>
          <w:rFonts w:cs="Arial" w:ascii="Arial" w:hAnsi="Arial"/>
          <w:sz w:val="24"/>
          <w:szCs w:val="24"/>
        </w:rPr>
        <w:t xml:space="preserve">Type of Water Source(s) in Use: Well </w:t>
      </w:r>
      <w:r>
        <w:rPr>
          <w:rFonts w:cs="Arial" w:ascii="Arial" w:hAnsi="Arial"/>
          <w:sz w:val="24"/>
          <w:szCs w:val="24"/>
        </w:rPr>
        <w:t>(GWUDI)</w:t>
      </w:r>
    </w:p>
    <w:p>
      <w:pPr>
        <w:pStyle w:val="Normal"/>
        <w:spacing w:before="0" w:after="240"/>
        <w:rPr>
          <w:rFonts w:ascii="Arial" w:hAnsi="Arial" w:cs="Arial"/>
          <w:sz w:val="24"/>
          <w:szCs w:val="24"/>
        </w:rPr>
      </w:pPr>
      <w:r>
        <w:rPr>
          <w:rFonts w:cs="Arial" w:ascii="Arial" w:hAnsi="Arial"/>
          <w:sz w:val="24"/>
          <w:szCs w:val="24"/>
        </w:rPr>
        <w:t>Name and General Location of Source(s): Well 02, on southern border of school property</w:t>
      </w:r>
    </w:p>
    <w:p>
      <w:pPr>
        <w:pStyle w:val="Normal"/>
        <w:spacing w:before="0" w:after="240"/>
        <w:rPr>
          <w:rFonts w:ascii="Arial" w:hAnsi="Arial" w:cs="Arial"/>
          <w:sz w:val="24"/>
          <w:szCs w:val="24"/>
        </w:rPr>
      </w:pPr>
      <w:r>
        <w:rPr>
          <w:rFonts w:cs="Arial" w:ascii="Arial" w:hAnsi="Arial"/>
          <w:sz w:val="24"/>
          <w:szCs w:val="24"/>
        </w:rPr>
        <w:t>Time and Place of Regularly Scheduled Board Meetings for Public Participation: On the second Wednesday of each month at 4 PM, either at Leggett School or Whale Gulch School, may be viewed on ZOOM</w:t>
      </w:r>
    </w:p>
    <w:p>
      <w:pPr>
        <w:pStyle w:val="Normal"/>
        <w:rPr>
          <w:rFonts w:ascii="Arial" w:hAnsi="Arial" w:cs="Arial"/>
          <w:sz w:val="24"/>
          <w:szCs w:val="24"/>
        </w:rPr>
      </w:pPr>
      <w:r>
        <w:rPr>
          <w:rFonts w:cs="Arial" w:ascii="Arial" w:hAnsi="Arial"/>
          <w:sz w:val="24"/>
          <w:szCs w:val="24"/>
        </w:rPr>
        <w:t>For More Information, Contact: Hillary Magarrell, Superintendent, (707) 925-6285</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2025,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xml:space="preserve">:  Este informe contiene información muy importante sobre su agua para beber.  Favor de comunicarse Escuela de </w:t>
      </w:r>
      <w:r>
        <w:rPr>
          <w:rFonts w:cs="Arial" w:ascii="Arial" w:hAnsi="Arial"/>
          <w:sz w:val="24"/>
          <w:szCs w:val="24"/>
          <w:lang w:val="en-US"/>
        </w:rPr>
        <w:t>Leggett Valley</w:t>
      </w:r>
      <w:r>
        <w:rPr>
          <w:rFonts w:cs="Arial" w:ascii="Arial" w:hAnsi="Arial"/>
          <w:sz w:val="24"/>
          <w:szCs w:val="24"/>
          <w:lang w:val="es-MX"/>
        </w:rPr>
        <w:t xml:space="preserve"> a </w:t>
      </w:r>
      <w:r>
        <w:rPr>
          <w:rFonts w:cs="Arial" w:ascii="Arial" w:hAnsi="Arial"/>
          <w:sz w:val="24"/>
          <w:szCs w:val="24"/>
          <w:lang w:val="en-US"/>
        </w:rPr>
        <w:t>(707) 925-6285</w:t>
      </w:r>
      <w:r>
        <w:rPr>
          <w:rFonts w:cs="Arial" w:ascii="Arial" w:hAnsi="Arial"/>
          <w:sz w:val="24"/>
          <w:szCs w:val="24"/>
          <w:lang w:val="es-MX"/>
        </w:rPr>
        <w:t xml:space="preserve"> 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t>Language in Mandarin</w:t>
      </w:r>
      <w:r>
        <w:rPr>
          <w:rFonts w:eastAsia="PMingLiU" w:cs="Arial" w:ascii="Arial" w:hAnsi="Arial"/>
          <w:sz w:val="24"/>
          <w:szCs w:val="24"/>
          <w:lang w:val="es-MX"/>
        </w:rPr>
        <w:t xml:space="preserve">:  </w:t>
      </w:r>
      <w:r>
        <w:rPr>
          <w:rFonts w:ascii="SimSun" w:hAnsi="SimSun" w:cs="Arial" w:eastAsia="SimSun"/>
          <w:sz w:val="24"/>
          <w:szCs w:val="24"/>
          <w:lang w:eastAsia="zh-CN"/>
        </w:rPr>
        <w:t>这份报告含有关于您的饮用水的重要讯息。请用以下地址和电话联系</w:t>
      </w:r>
      <w:r>
        <w:rPr>
          <w:rFonts w:ascii="Arial" w:hAnsi="Arial" w:cs="Arial" w:eastAsia="PMingLiU"/>
          <w:sz w:val="24"/>
          <w:szCs w:val="24"/>
        </w:rPr>
        <w:t xml:space="preserve"> </w:t>
      </w:r>
      <w:r>
        <w:rPr>
          <w:rFonts w:eastAsia="PMingLiU" w:cs="Arial" w:ascii="Arial" w:hAnsi="Arial"/>
          <w:sz w:val="24"/>
          <w:szCs w:val="24"/>
        </w:rPr>
        <w:t>Leggett Valley School</w:t>
      </w:r>
      <w:r>
        <w:rPr>
          <w:rFonts w:ascii="SimSun" w:hAnsi="SimSun" w:cs="Arial" w:eastAsia="SimSun"/>
          <w:sz w:val="24"/>
          <w:szCs w:val="24"/>
          <w:lang w:eastAsia="zh-CN"/>
        </w:rPr>
        <w:t>以获得中文的帮助</w:t>
      </w:r>
      <w:r>
        <w:rPr>
          <w:rFonts w:eastAsia="SimSun" w:cs="Arial" w:ascii="SimSun" w:hAnsi="SimSun"/>
          <w:sz w:val="24"/>
          <w:szCs w:val="24"/>
        </w:rPr>
        <w:t>:</w:t>
      </w:r>
      <w:r>
        <w:rPr>
          <w:rFonts w:eastAsia="PMingLiU" w:cs="Arial" w:ascii="Arial" w:hAnsi="Arial"/>
          <w:sz w:val="24"/>
          <w:szCs w:val="24"/>
        </w:rPr>
        <w:t xml:space="preserve"> (707) 925-6285.</w:t>
      </w:r>
    </w:p>
    <w:p>
      <w:pPr>
        <w:pStyle w:val="Normal"/>
        <w:spacing w:before="0" w:after="180"/>
        <w:rPr>
          <w:rFonts w:ascii="Arial" w:hAnsi="Arial" w:cs="Arial"/>
          <w:sz w:val="24"/>
          <w:szCs w:val="24"/>
        </w:rPr>
      </w:pPr>
      <w:r>
        <w:rPr>
          <w:rFonts w:cs="Arial" w:ascii="Arial" w:hAnsi="Arial"/>
          <w:sz w:val="24"/>
          <w:szCs w:val="24"/>
        </w:rPr>
        <w:t xml:space="preserve">Language in Tagalog: </w:t>
      </w:r>
      <w:r>
        <w:rPr>
          <w:rFonts w:cs="Arial" w:ascii="Arial" w:hAnsi="Arial"/>
          <w:sz w:val="24"/>
          <w:szCs w:val="24"/>
          <w:lang w:val="fil-PH"/>
        </w:rPr>
        <w:t>Ang pag-uulat na ito ay naglalaman ng mahalagang impormasyon tungkol sa inyong inuming tubig.  Mangyaring makipag-ugnayan sa</w:t>
      </w:r>
      <w:r>
        <w:rPr>
          <w:rFonts w:cs="Arial" w:ascii="Arial" w:hAnsi="Arial"/>
          <w:sz w:val="24"/>
          <w:szCs w:val="24"/>
        </w:rPr>
        <w:t xml:space="preserve"> Leggett Valley School o </w:t>
      </w:r>
      <w:r>
        <w:rPr>
          <w:rFonts w:cs="Arial" w:ascii="Arial" w:hAnsi="Arial"/>
          <w:sz w:val="24"/>
          <w:szCs w:val="24"/>
          <w:lang w:val="fil-PH"/>
        </w:rPr>
        <w:t>tumawag sa</w:t>
      </w:r>
      <w:r>
        <w:rPr>
          <w:rFonts w:cs="Arial" w:ascii="Arial" w:hAnsi="Arial"/>
          <w:sz w:val="24"/>
          <w:szCs w:val="24"/>
        </w:rPr>
        <w:t xml:space="preserve"> (707) 925-6285 </w:t>
      </w:r>
      <w:r>
        <w:rPr>
          <w:rFonts w:cs="Arial" w:ascii="Arial" w:hAnsi="Arial"/>
          <w:sz w:val="24"/>
          <w:szCs w:val="24"/>
          <w:lang w:val="fil-PH"/>
        </w:rPr>
        <w:t>para matulungan sa wikang Tagalog</w:t>
      </w:r>
      <w:r>
        <w:rPr>
          <w:rFonts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Language in Vietnamese</w:t>
      </w:r>
      <w:r>
        <w:rPr>
          <w:rFonts w:cs="Arial" w:ascii="Arial" w:hAnsi="Arial"/>
          <w:sz w:val="24"/>
          <w:szCs w:val="24"/>
          <w:lang w:val="vi-VN"/>
        </w:rPr>
        <w:t>:  Báo cáo này chứa thông tin quan trọng về nước uống của bạn.  Xin vui lòng liên hệ Leggett Valley School</w:t>
      </w:r>
      <w:r>
        <w:rPr>
          <w:rFonts w:cs="Arial" w:ascii="Arial" w:hAnsi="Arial"/>
          <w:sz w:val="24"/>
          <w:szCs w:val="24"/>
        </w:rPr>
        <w:t xml:space="preserve"> </w:t>
      </w:r>
      <w:r>
        <w:rPr>
          <w:rFonts w:cs="Arial" w:ascii="Arial" w:hAnsi="Arial"/>
          <w:sz w:val="24"/>
          <w:szCs w:val="24"/>
          <w:lang w:val="vi-VN"/>
        </w:rPr>
        <w:t>tại</w:t>
      </w:r>
      <w:r>
        <w:rPr>
          <w:rFonts w:cs="Arial" w:ascii="Arial" w:hAnsi="Arial"/>
          <w:sz w:val="24"/>
          <w:szCs w:val="24"/>
        </w:rPr>
        <w:t xml:space="preserve"> (707) 925-6285 </w:t>
      </w:r>
      <w:r>
        <w:rPr>
          <w:rFonts w:cs="Arial" w:ascii="Arial" w:hAnsi="Arial"/>
          <w:sz w:val="24"/>
          <w:szCs w:val="24"/>
          <w:lang w:val="vi-VN"/>
        </w:rPr>
        <w:t>để được hỗ trợ giúp bằng tiếng Việt.</w:t>
      </w:r>
    </w:p>
    <w:p>
      <w:pPr>
        <w:pStyle w:val="Normal"/>
        <w:spacing w:before="0" w:after="180"/>
        <w:rPr>
          <w:rFonts w:ascii="Arial" w:hAnsi="Arial" w:cs="Arial"/>
          <w:sz w:val="24"/>
          <w:szCs w:val="24"/>
        </w:rPr>
      </w:pPr>
      <w:r>
        <w:rPr>
          <w:rFonts w:cs="Arial" w:ascii="Arial" w:hAnsi="Arial"/>
          <w:sz w:val="24"/>
          <w:szCs w:val="24"/>
        </w:rPr>
        <w:t>Language in Hmong:  Tsab ntawv no muaj cov ntsiab lus tseem ceeb txog koj cov dej haus.  Thov hu rau Leggett Valley School ntawm (707) 925-6285 rau kev pab hauv lus Askiv.</w:t>
      </w:r>
    </w:p>
    <w:p>
      <w:pPr>
        <w:pStyle w:val="Heading2"/>
        <w:spacing w:before="0" w:after="40"/>
        <w:rPr/>
      </w:pPr>
      <w:bookmarkStart w:id="3" w:name="_Toc58336715"/>
      <w:r>
        <w:rPr/>
        <w:t>Terms Used in This Report</w:t>
      </w:r>
      <w:bookmarkEnd w:id="3"/>
    </w:p>
    <w:tbl>
      <w:tblPr>
        <w:tblStyle w:val="TableGrid"/>
        <w:tblW w:w="10790" w:type="dxa"/>
        <w:jc w:val="left"/>
        <w:tblInd w:w="0" w:type="dxa"/>
        <w:tblLayout w:type="fixed"/>
        <w:tblCellMar>
          <w:top w:w="43" w:type="dxa"/>
          <w:left w:w="108" w:type="dxa"/>
          <w:bottom w:w="43" w:type="dxa"/>
          <w:right w:w="108" w:type="dxa"/>
        </w:tblCellMar>
        <w:tblLook w:firstRow="1" w:noVBand="1" w:lastRow="0" w:firstColumn="1" w:lastColumn="0" w:noHBand="0" w:val="04a0"/>
      </w:tblPr>
      <w:tblGrid>
        <w:gridCol w:w="2695"/>
        <w:gridCol w:w="8094"/>
      </w:tblGrid>
      <w:tr>
        <w:trPr>
          <w:tblHeader w:val="true"/>
          <w:trHeight w:val="226" w:hRule="atLeast"/>
        </w:trPr>
        <w:tc>
          <w:tcPr>
            <w:tcW w:w="2695" w:type="dxa"/>
            <w:tcBorders/>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Term</w:t>
            </w:r>
          </w:p>
        </w:tc>
        <w:tc>
          <w:tcPr>
            <w:tcW w:w="8094" w:type="dxa"/>
            <w:tcBorders/>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Level 1 Assessment</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Level 2 Assessment</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Contaminant Level (MCL)</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Contaminant Level Goal (MCLG)</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(PHG)</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ND</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ppq</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pCi/L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Hlk57994699"/>
      <w:bookmarkStart w:id="7" w:name="_Toc58336718"/>
      <w:r>
        <w:rPr>
          <w:color w:val="auto"/>
        </w:rPr>
        <w:t>Drinking Water Contaminants Detected</w:t>
      </w:r>
      <w:bookmarkEnd w:id="7"/>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End w:id="6"/>
    </w:p>
    <w:p>
      <w:pPr>
        <w:pStyle w:val="Caption1"/>
        <w:rPr/>
      </w:pPr>
      <w:r>
        <w:rPr/>
        <w:t xml:space="preserve">Table </w:t>
      </w:r>
      <w:r>
        <w:rPr/>
        <w:fldChar w:fldCharType="begin"/>
      </w:r>
      <w:r>
        <w:rPr/>
        <w:instrText xml:space="preserve"> SEQ Table \* ARABIC </w:instrText>
      </w:r>
      <w:r>
        <w:rPr/>
        <w:fldChar w:fldCharType="separate"/>
      </w:r>
      <w:r>
        <w:rPr/>
        <w:t>1</w:t>
      </w:r>
      <w:r>
        <w:rPr/>
        <w:fldChar w:fldCharType="end"/>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065"/>
        <w:gridCol w:w="1617"/>
        <w:gridCol w:w="1442"/>
        <w:gridCol w:w="1891"/>
        <w:gridCol w:w="1349"/>
        <w:gridCol w:w="2431"/>
      </w:tblGrid>
      <w:tr>
        <w:trPr>
          <w:tblHeader w:val="true"/>
          <w:trHeight w:val="611" w:hRule="atLeast"/>
          <w:cantSplit w:val="true"/>
        </w:trPr>
        <w:tc>
          <w:tcPr>
            <w:tcW w:w="2065"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 xml:space="preserve">Microbiological Contaminants </w:t>
            </w:r>
          </w:p>
        </w:tc>
        <w:tc>
          <w:tcPr>
            <w:tcW w:w="1617"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No. of Months in Violation</w:t>
            </w:r>
          </w:p>
        </w:tc>
        <w:tc>
          <w:tcPr>
            <w:tcW w:w="1891"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w:t>
            </w:r>
          </w:p>
        </w:tc>
        <w:tc>
          <w:tcPr>
            <w:tcW w:w="1349"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MCLG</w:t>
            </w:r>
          </w:p>
        </w:tc>
        <w:tc>
          <w:tcPr>
            <w:tcW w:w="2431"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89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w:t>
            </w:r>
          </w:p>
        </w:tc>
        <w:tc>
          <w:tcPr>
            <w:tcW w:w="134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43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Normal"/>
        <w:rPr>
          <w:rFonts w:ascii="Arial" w:hAnsi="Arial" w:cs="Arial"/>
          <w:sz w:val="24"/>
          <w:szCs w:val="24"/>
        </w:rPr>
      </w:pPr>
      <w:r>
        <w:rPr>
          <w:rFonts w:cs="Arial" w:ascii="Arial" w:hAnsi="Arial"/>
          <w:sz w:val="24"/>
          <w:szCs w:val="24"/>
        </w:rPr>
      </w:r>
    </w:p>
    <w:p>
      <w:pPr>
        <w:pStyle w:val="Normal"/>
        <w:rPr>
          <w:rFonts w:ascii="Arial" w:hAnsi="Arial"/>
          <w:b/>
          <w:bCs/>
          <w:sz w:val="24"/>
          <w:szCs w:val="24"/>
        </w:rPr>
      </w:pPr>
      <w:r>
        <w:rPr>
          <w:rFonts w:ascii="Arial" w:hAnsi="Arial"/>
          <w:b/>
          <w:bCs/>
          <w:sz w:val="24"/>
          <w:szCs w:val="24"/>
        </w:rPr>
        <w:t xml:space="preserve">Table </w:t>
      </w:r>
      <w:r>
        <w:rPr>
          <w:rFonts w:ascii="Arial" w:hAnsi="Arial"/>
          <w:b/>
          <w:bCs/>
          <w:sz w:val="24"/>
          <w:szCs w:val="24"/>
        </w:rPr>
        <w:fldChar w:fldCharType="begin"/>
      </w:r>
      <w:r>
        <w:rPr>
          <w:sz w:val="24"/>
          <w:b/>
          <w:szCs w:val="24"/>
          <w:bCs/>
          <w:rFonts w:ascii="Arial" w:hAnsi="Arial"/>
        </w:rPr>
        <w:instrText xml:space="preserve"> SEQ Table \* ARABIC </w:instrText>
      </w:r>
      <w:r>
        <w:rPr>
          <w:sz w:val="24"/>
          <w:b/>
          <w:szCs w:val="24"/>
          <w:bCs/>
          <w:rFonts w:ascii="Arial" w:hAnsi="Arial"/>
        </w:rPr>
        <w:fldChar w:fldCharType="separate"/>
      </w:r>
      <w:r>
        <w:rPr>
          <w:sz w:val="24"/>
          <w:b/>
          <w:szCs w:val="24"/>
          <w:bCs/>
          <w:rFonts w:ascii="Arial" w:hAnsi="Arial"/>
        </w:rPr>
        <w:t>2</w:t>
      </w:r>
      <w:r>
        <w:rPr>
          <w:sz w:val="24"/>
          <w:b/>
          <w:szCs w:val="24"/>
          <w:bCs/>
          <w:rFonts w:ascii="Arial" w:hAnsi="Arial"/>
        </w:rPr>
        <w:fldChar w:fldCharType="end"/>
      </w:r>
      <w:r>
        <w:rPr>
          <w:rFonts w:ascii="Arial" w:hAnsi="Arial"/>
          <w:b/>
          <w:bCs/>
          <w:sz w:val="24"/>
          <w:szCs w:val="24"/>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85" w:type="dxa"/>
        <w:jc w:val="left"/>
        <w:tblInd w:w="0" w:type="dxa"/>
        <w:tblLayout w:type="fixed"/>
        <w:tblCellMar>
          <w:top w:w="0" w:type="dxa"/>
          <w:left w:w="86" w:type="dxa"/>
          <w:bottom w:w="0" w:type="dxa"/>
          <w:right w:w="86" w:type="dxa"/>
        </w:tblCellMar>
        <w:tblLook w:firstRow="1" w:noVBand="0" w:lastRow="0" w:firstColumn="1" w:lastColumn="0" w:noHBand="0" w:val="00a0"/>
      </w:tblPr>
      <w:tblGrid>
        <w:gridCol w:w="985"/>
        <w:gridCol w:w="900"/>
        <w:gridCol w:w="989"/>
        <w:gridCol w:w="899"/>
        <w:gridCol w:w="902"/>
        <w:gridCol w:w="989"/>
        <w:gridCol w:w="721"/>
        <w:gridCol w:w="719"/>
        <w:gridCol w:w="3780"/>
      </w:tblGrid>
      <w:tr>
        <w:trPr>
          <w:tblHeader w:val="true"/>
          <w:trHeight w:val="1708" w:hRule="atLeast"/>
          <w:cantSplit w:val="true"/>
        </w:trPr>
        <w:tc>
          <w:tcPr>
            <w:tcW w:w="985"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 xml:space="preserve">Lead and Copper </w:t>
            </w:r>
          </w:p>
        </w:tc>
        <w:tc>
          <w:tcPr>
            <w:tcW w:w="900"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Sample Date</w:t>
            </w:r>
          </w:p>
        </w:tc>
        <w:tc>
          <w:tcPr>
            <w:tcW w:w="989"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of Samples Collected</w:t>
            </w:r>
          </w:p>
        </w:tc>
        <w:tc>
          <w:tcPr>
            <w:tcW w:w="899"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902"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Sites Exceeding AL</w:t>
            </w:r>
          </w:p>
        </w:tc>
        <w:tc>
          <w:tcPr>
            <w:tcW w:w="989" w:type="dxa"/>
            <w:tcBorders/>
            <w:tcMar>
              <w:left w:w="108" w:type="dxa"/>
              <w:right w:w="108" w:type="dxa"/>
            </w:tcMar>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Range of Results</w:t>
            </w:r>
          </w:p>
        </w:tc>
        <w:tc>
          <w:tcPr>
            <w:tcW w:w="721"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AL</w:t>
            </w:r>
          </w:p>
        </w:tc>
        <w:tc>
          <w:tcPr>
            <w:tcW w:w="719"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PHG</w:t>
            </w:r>
          </w:p>
        </w:tc>
        <w:tc>
          <w:tcPr>
            <w:tcW w:w="3780" w:type="dxa"/>
            <w:tcBorders/>
            <w:tcMar>
              <w:left w:w="108" w:type="dxa"/>
              <w:right w:w="108" w:type="dxa"/>
            </w:tcMa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w:t>
            </w:r>
          </w:p>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Contaminant</w:t>
            </w:r>
          </w:p>
        </w:tc>
      </w:tr>
      <w:tr>
        <w:trPr>
          <w:trHeight w:val="1332" w:hRule="atLeast"/>
        </w:trPr>
        <w:tc>
          <w:tcPr>
            <w:tcW w:w="98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Lead (ppb)</w:t>
            </w:r>
          </w:p>
        </w:tc>
        <w:tc>
          <w:tcPr>
            <w:tcW w:w="9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06/13/23</w:t>
            </w:r>
          </w:p>
        </w:tc>
        <w:tc>
          <w:tcPr>
            <w:tcW w:w="98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89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1.2</w:t>
            </w:r>
          </w:p>
        </w:tc>
        <w:tc>
          <w:tcPr>
            <w:tcW w:w="90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8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0 - 2.5</w:t>
            </w:r>
          </w:p>
        </w:tc>
        <w:tc>
          <w:tcPr>
            <w:tcW w:w="7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71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378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Corrosion of household plumbing systems; Erosion of natural deposits</w:t>
            </w:r>
          </w:p>
        </w:tc>
      </w:tr>
      <w:tr>
        <w:trPr>
          <w:trHeight w:val="1169" w:hRule="atLeast"/>
        </w:trPr>
        <w:tc>
          <w:tcPr>
            <w:tcW w:w="98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Copper (ppm)</w:t>
            </w:r>
          </w:p>
        </w:tc>
        <w:tc>
          <w:tcPr>
            <w:tcW w:w="9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06/13/23</w:t>
            </w:r>
          </w:p>
        </w:tc>
        <w:tc>
          <w:tcPr>
            <w:tcW w:w="98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89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.215</w:t>
            </w:r>
          </w:p>
        </w:tc>
        <w:tc>
          <w:tcPr>
            <w:tcW w:w="90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8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.044 – .290</w:t>
            </w:r>
          </w:p>
        </w:tc>
        <w:tc>
          <w:tcPr>
            <w:tcW w:w="7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71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378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1"/>
        <w:rPr/>
      </w:pPr>
      <w:r>
        <w:rPr/>
        <w:t xml:space="preserve">Table </w:t>
      </w:r>
      <w:r>
        <w:rPr/>
        <w:fldChar w:fldCharType="begin"/>
      </w:r>
      <w:r>
        <w:rPr/>
        <w:instrText xml:space="preserve"> SEQ Table \* ARABIC </w:instrText>
      </w:r>
      <w:r>
        <w:rPr/>
        <w:fldChar w:fldCharType="separate"/>
      </w:r>
      <w:r>
        <w:rPr/>
        <w:t>3</w:t>
      </w:r>
      <w:r>
        <w:rPr/>
        <w:fldChar w:fldCharType="end"/>
      </w:r>
      <w:r>
        <w:rPr/>
        <w:t>.  Detection of Contaminants with a Primary Drinking Water Standard</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259"/>
        <w:gridCol w:w="1530"/>
        <w:gridCol w:w="1170"/>
        <w:gridCol w:w="1262"/>
        <w:gridCol w:w="1929"/>
      </w:tblGrid>
      <w:tr>
        <w:trPr>
          <w:trHeight w:val="1511" w:hRule="atLeast"/>
          <w:cantSplit w:val="true"/>
        </w:trPr>
        <w:tc>
          <w:tcPr>
            <w:tcW w:w="2245"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reporting units)</w:t>
            </w:r>
          </w:p>
        </w:tc>
        <w:tc>
          <w:tcPr>
            <w:tcW w:w="1440"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59" w:type="dxa"/>
            <w:tcBorders/>
            <w:tcMar>
              <w:left w:w="72" w:type="dxa"/>
              <w:right w:w="72" w:type="dxa"/>
            </w:tcMar>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1170"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MCL [MRDL]</w:t>
            </w:r>
          </w:p>
        </w:tc>
        <w:tc>
          <w:tcPr>
            <w:tcW w:w="1262"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PHG (MCLG) [MRDLG]</w:t>
            </w:r>
          </w:p>
        </w:tc>
        <w:tc>
          <w:tcPr>
            <w:tcW w:w="1929"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5" w:type="dxa"/>
            <w:tcBorders/>
            <w:tcMar>
              <w:left w:w="58" w:type="dxa"/>
              <w:right w:w="58" w:type="dxa"/>
            </w:tcMar>
          </w:tcPr>
          <w:p>
            <w:pPr>
              <w:pStyle w:val="Normal"/>
              <w:keepNext w:val="true"/>
              <w:keepLines/>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Total Nitrates</w:t>
            </w:r>
          </w:p>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(ppm)</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03/11/25</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06/10/25</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09/09/25</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12/16/25</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53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0 - 0 </w:t>
            </w:r>
          </w:p>
        </w:tc>
        <w:tc>
          <w:tcPr>
            <w:tcW w:w="117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262"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929"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Runoff or leakage from fertilizer, wastewater, septic systems, or animal feed</w:t>
            </w:r>
          </w:p>
        </w:tc>
      </w:tr>
      <w:tr>
        <w:trPr>
          <w:trHeight w:val="432" w:hRule="atLeast"/>
        </w:trPr>
        <w:tc>
          <w:tcPr>
            <w:tcW w:w="2245" w:type="dxa"/>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TTHM</w:t>
            </w:r>
          </w:p>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(ppb)</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10/08/24</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80</w:t>
            </w:r>
          </w:p>
        </w:tc>
        <w:tc>
          <w:tcPr>
            <w:tcW w:w="126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92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Disinfectant biproduct</w:t>
            </w:r>
          </w:p>
        </w:tc>
      </w:tr>
      <w:tr>
        <w:trPr>
          <w:trHeight w:val="432" w:hRule="atLeast"/>
        </w:trPr>
        <w:tc>
          <w:tcPr>
            <w:tcW w:w="2245" w:type="dxa"/>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Aluminum (ppm)</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07/01/25</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.07</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w:t>
            </w:r>
          </w:p>
        </w:tc>
        <w:tc>
          <w:tcPr>
            <w:tcW w:w="126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w:t>
            </w:r>
          </w:p>
        </w:tc>
        <w:tc>
          <w:tcPr>
            <w:tcW w:w="192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Present naturally in water supplies, natural erosion of minerals, leaching from cement and mortar pipes, some industrial processes and degrading of garbage.</w:t>
            </w:r>
          </w:p>
        </w:tc>
      </w:tr>
      <w:tr>
        <w:trPr>
          <w:trHeight w:val="432" w:hRule="atLeast"/>
        </w:trPr>
        <w:tc>
          <w:tcPr>
            <w:tcW w:w="2245" w:type="dxa"/>
            <w:tcBorders>
              <w:top w:val="nil"/>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Barium</w:t>
            </w:r>
          </w:p>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(ppm)</w:t>
            </w:r>
          </w:p>
        </w:tc>
        <w:tc>
          <w:tcPr>
            <w:tcW w:w="144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07/01/25</w:t>
            </w:r>
          </w:p>
        </w:tc>
        <w:tc>
          <w:tcPr>
            <w:tcW w:w="1259"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.31</w:t>
            </w:r>
          </w:p>
        </w:tc>
        <w:tc>
          <w:tcPr>
            <w:tcW w:w="153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w:t>
            </w:r>
          </w:p>
        </w:tc>
        <w:tc>
          <w:tcPr>
            <w:tcW w:w="1262"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w:t>
            </w:r>
          </w:p>
        </w:tc>
        <w:tc>
          <w:tcPr>
            <w:tcW w:w="1929" w:type="dxa"/>
            <w:tcBorders>
              <w:top w:val="nil"/>
            </w:tcBorders>
          </w:tcPr>
          <w:p>
            <w:pPr>
              <w:pStyle w:val="Normal"/>
              <w:widowControl w:val="false"/>
              <w:suppressAutoHyphens w:val="true"/>
              <w:spacing w:before="40" w:after="40"/>
              <w:jc w:val="center"/>
              <w:rPr>
                <w:rFonts w:ascii="Arial" w:hAnsi="Arial" w:eastAsia="Times New Roman" w:cs="Times New Roman"/>
                <w:kern w:val="0"/>
                <w:sz w:val="24"/>
                <w:szCs w:val="24"/>
                <w:lang w:val="en-US" w:eastAsia="en-US" w:bidi="ar-SA"/>
              </w:rPr>
            </w:pPr>
            <w:r>
              <w:rPr>
                <w:rFonts w:eastAsia="Times New Roman" w:cs="Arial" w:ascii="Arial" w:hAnsi="Arial"/>
                <w:b w:val="false"/>
                <w:i w:val="false"/>
                <w:caps w:val="false"/>
                <w:smallCaps w:val="false"/>
                <w:color w:val="1B1B1B"/>
                <w:spacing w:val="0"/>
                <w:kern w:val="0"/>
                <w:sz w:val="24"/>
                <w:szCs w:val="24"/>
                <w:lang w:val="en-US" w:eastAsia="en-US" w:bidi="ar-SA"/>
              </w:rPr>
              <w:t>Discharge of drilling wastes; discharge from metal refineries; erosion of natural deposits</w:t>
            </w:r>
            <w:r>
              <w:rPr>
                <w:rFonts w:eastAsia="Times New Roman" w:cs="Arial" w:ascii="Arial" w:hAnsi="Arial"/>
                <w:kern w:val="0"/>
                <w:sz w:val="24"/>
                <w:szCs w:val="24"/>
                <w:lang w:val="en-US" w:eastAsia="en-US" w:bidi="ar-SA"/>
              </w:rPr>
              <w:t xml:space="preserve"> </w:t>
            </w:r>
          </w:p>
        </w:tc>
      </w:tr>
    </w:tbl>
    <w:p>
      <w:pPr>
        <w:pStyle w:val="Caption1"/>
        <w:rPr/>
      </w:pPr>
      <w:r>
        <w:rPr/>
        <w:t xml:space="preserve">Table </w:t>
      </w:r>
      <w:r>
        <w:rPr/>
        <w:fldChar w:fldCharType="begin"/>
      </w:r>
      <w:r>
        <w:rPr/>
        <w:instrText xml:space="preserve"> SEQ Table \* ARABIC </w:instrText>
      </w:r>
      <w:r>
        <w:rPr/>
        <w:fldChar w:fldCharType="separate"/>
      </w:r>
      <w:r>
        <w:rPr/>
        <w:t>4</w:t>
      </w:r>
      <w:r>
        <w:rPr/>
        <w:fldChar w:fldCharType="end"/>
      </w:r>
      <w:r>
        <w:rPr/>
        <w:t>.  Detection of Contaminants with a Secondary Drinking Water Standard</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5"/>
        <w:gridCol w:w="1375"/>
        <w:gridCol w:w="1620"/>
        <w:gridCol w:w="1710"/>
        <w:gridCol w:w="850"/>
        <w:gridCol w:w="1041"/>
        <w:gridCol w:w="1994"/>
      </w:tblGrid>
      <w:tr>
        <w:trPr/>
        <w:tc>
          <w:tcPr>
            <w:tcW w:w="2245" w:type="dxa"/>
            <w:tcBorders/>
            <w:vAlign w:val="center"/>
          </w:tcPr>
          <w:p>
            <w:pPr>
              <w:pStyle w:val="Normal"/>
              <w:keepNext w:val="true"/>
              <w:keepLines/>
              <w:widowControl w:val="false"/>
              <w:suppressAutoHyphens w:val="true"/>
              <w:spacing w:lineRule="exact" w:line="240" w:before="0" w:after="6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375"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620"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710"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850"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SMCL</w:t>
            </w:r>
          </w:p>
        </w:tc>
        <w:tc>
          <w:tcPr>
            <w:tcW w:w="1041"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PHG (MCLG)</w:t>
            </w:r>
          </w:p>
        </w:tc>
        <w:tc>
          <w:tcPr>
            <w:tcW w:w="1994" w:type="dxa"/>
            <w:tcBorders/>
            <w:vAlign w:val="center"/>
          </w:tcPr>
          <w:p>
            <w:pPr>
              <w:pStyle w:val="Normal"/>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w:t>
            </w:r>
          </w:p>
          <w:p>
            <w:pPr>
              <w:pStyle w:val="Normal"/>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of</w:t>
            </w:r>
          </w:p>
          <w:p>
            <w:pPr>
              <w:pStyle w:val="Normal"/>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right="0" w:hanging="0"/>
              <w:jc w:val="left"/>
              <w:rPr>
                <w:rFonts w:ascii="Arial" w:hAnsi="Arial" w:cs="Arial"/>
                <w:sz w:val="24"/>
                <w:szCs w:val="24"/>
              </w:rPr>
            </w:pPr>
            <w:r>
              <w:rPr>
                <w:rFonts w:eastAsia="Times New Roman" w:cs="Arial" w:ascii="Arial" w:hAnsi="Arial"/>
                <w:kern w:val="0"/>
                <w:sz w:val="24"/>
                <w:szCs w:val="24"/>
                <w:lang w:val="en-US" w:eastAsia="en-US" w:bidi="ar-SA"/>
              </w:rPr>
              <w:t>Manganese</w:t>
            </w:r>
          </w:p>
          <w:p>
            <w:pPr>
              <w:pStyle w:val="Normal"/>
              <w:widowControl w:val="false"/>
              <w:suppressAutoHyphens w:val="true"/>
              <w:spacing w:before="40" w:after="40"/>
              <w:ind w:left="187" w:right="0" w:hanging="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1375"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01/07/25 - 12/02/25</w:t>
            </w:r>
          </w:p>
        </w:tc>
        <w:tc>
          <w:tcPr>
            <w:tcW w:w="162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47 (Well)</w:t>
            </w:r>
          </w:p>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24</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(Distribution)</w:t>
            </w:r>
          </w:p>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71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28 – 130 (Well)</w:t>
            </w:r>
          </w:p>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 – 41 (Distribution)</w:t>
            </w:r>
          </w:p>
        </w:tc>
        <w:tc>
          <w:tcPr>
            <w:tcW w:w="85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50</w:t>
            </w:r>
          </w:p>
        </w:tc>
        <w:tc>
          <w:tcPr>
            <w:tcW w:w="1041"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994" w:type="dxa"/>
            <w:tcBorders/>
            <w:tcMar>
              <w:left w:w="108" w:type="dxa"/>
              <w:right w:w="108" w:type="dxa"/>
            </w:tcMar>
          </w:tcPr>
          <w:p>
            <w:pPr>
              <w:pStyle w:val="Normal"/>
              <w:widowControl w:val="false"/>
              <w:suppressAutoHyphens w:val="true"/>
              <w:spacing w:before="40" w:after="40"/>
              <w:jc w:val="left"/>
              <w:rPr>
                <w:rFonts w:ascii="Arial" w:hAnsi="Arial" w:cs="Arial"/>
                <w:szCs w:val="24"/>
              </w:rPr>
            </w:pPr>
            <w:r>
              <w:rPr>
                <w:rFonts w:eastAsia="PMingLiU" w:cs="Arial" w:ascii="Arial" w:hAnsi="Arial"/>
                <w:kern w:val="0"/>
                <w:sz w:val="24"/>
                <w:szCs w:val="24"/>
                <w:lang w:val="en-US" w:eastAsia="en-US" w:bidi="ar-SA"/>
              </w:rPr>
              <w:t>Leaching from natural deposits</w:t>
            </w:r>
          </w:p>
        </w:tc>
      </w:tr>
    </w:tbl>
    <w:p>
      <w:pPr>
        <w:pStyle w:val="Heading3"/>
        <w:keepNext w:val="true"/>
        <w:rPr>
          <w:color w:val="auto"/>
        </w:rPr>
      </w:pPr>
      <w:bookmarkStart w:id="8" w:name="_Toc58336719"/>
      <w:r>
        <w:rPr>
          <w:color w:val="auto"/>
        </w:rPr>
        <w:t>Additional General Information on Drinking Water</w:t>
      </w:r>
      <w:bookmarkEnd w:id="8"/>
    </w:p>
    <w:p>
      <w:pPr>
        <w:pStyle w:val="TextBody"/>
        <w:tabs>
          <w:tab w:val="clear" w:pos="720"/>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TextBody"/>
        <w:spacing w:before="0" w:after="240"/>
        <w:jc w:val="left"/>
        <w:rPr>
          <w:rFonts w:ascii="Arial" w:hAnsi="Arial" w:cs="Arial"/>
          <w:sz w:val="24"/>
          <w:szCs w:val="24"/>
        </w:rPr>
      </w:pPr>
      <w:r>
        <w:rPr/>
      </w:r>
    </w:p>
    <w:p>
      <w:pPr>
        <w:pStyle w:val="TextBody"/>
        <w:spacing w:before="0" w:after="240"/>
        <w:jc w:val="left"/>
        <w:rPr>
          <w:rFonts w:ascii="Arial" w:hAnsi="Arial" w:cs="Arial"/>
          <w:sz w:val="24"/>
          <w:szCs w:val="24"/>
        </w:rPr>
      </w:pPr>
      <w:r>
        <w:rPr/>
      </w:r>
    </w:p>
    <w:p>
      <w:pPr>
        <w:pStyle w:val="Heading3"/>
        <w:keepNext w:val="true"/>
        <w:rPr>
          <w:color w:val="auto"/>
        </w:rPr>
      </w:pPr>
      <w:bookmarkStart w:id="9" w:name="_Toc58336723"/>
      <w:r>
        <w:rPr>
          <w:color w:val="auto"/>
        </w:rPr>
        <w:t>For Systems Providing Surface Water as a Source of Drinking Water</w:t>
      </w:r>
      <w:bookmarkEnd w:id="9"/>
    </w:p>
    <w:p>
      <w:pPr>
        <w:pStyle w:val="Normal"/>
        <w:rPr>
          <w:rFonts w:ascii="Arial" w:hAnsi="Arial"/>
          <w:sz w:val="24"/>
          <w:szCs w:val="24"/>
        </w:rPr>
      </w:pPr>
      <w:r>
        <w:rPr>
          <w:rFonts w:ascii="Arial" w:hAnsi="Arial"/>
          <w:sz w:val="24"/>
          <w:szCs w:val="24"/>
        </w:rPr>
        <w:t>This includes systems providing ground water under the direct influence of surface water (GWUDI).</w:t>
      </w:r>
    </w:p>
    <w:p>
      <w:pPr>
        <w:pStyle w:val="Normal"/>
        <w:rPr>
          <w:color w:val="auto"/>
        </w:rPr>
      </w:pPr>
      <w:r>
        <w:rPr/>
      </w:r>
    </w:p>
    <w:p>
      <w:pPr>
        <w:pStyle w:val="Caption1"/>
        <w:spacing w:before="120" w:after="120"/>
        <w:rPr/>
      </w:pPr>
      <w:r>
        <w:rPr/>
        <w:t>Table 10.  Sampling Results Showing Treatment of Surface Water Sources</w:t>
      </w:r>
    </w:p>
    <w:tbl>
      <w:tblPr>
        <w:tblStyle w:val="TableGrid"/>
        <w:tblW w:w="107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45"/>
        <w:gridCol w:w="6725"/>
      </w:tblGrid>
      <w:tr>
        <w:trPr/>
        <w:tc>
          <w:tcPr>
            <w:tcW w:w="4045" w:type="dxa"/>
            <w:tcBorders/>
          </w:tcPr>
          <w:p>
            <w:pPr>
              <w:pStyle w:val="Normal"/>
              <w:keepNext w:val="true"/>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 xml:space="preserve">Treatment Technique </w:t>
            </w:r>
            <w:r>
              <w:rPr>
                <w:rFonts w:eastAsia="Times New Roman" w:cs="Arial" w:ascii="Arial" w:hAnsi="Arial"/>
                <w:bCs/>
                <w:kern w:val="0"/>
                <w:sz w:val="24"/>
                <w:szCs w:val="24"/>
                <w:vertAlign w:val="superscript"/>
                <w:lang w:val="en-US" w:eastAsia="en-US" w:bidi="ar-SA"/>
              </w:rPr>
              <w:t xml:space="preserve">(a) </w:t>
            </w:r>
            <w:r>
              <w:rPr>
                <w:rFonts w:eastAsia="Times New Roman" w:cs="Arial" w:ascii="Arial" w:hAnsi="Arial"/>
                <w:bCs/>
                <w:kern w:val="0"/>
                <w:sz w:val="24"/>
                <w:szCs w:val="24"/>
                <w:lang w:val="en-US" w:eastAsia="en-US" w:bidi="ar-SA"/>
              </w:rPr>
              <w:t>(Type of approved filtration technology used)</w:t>
            </w:r>
          </w:p>
        </w:tc>
        <w:tc>
          <w:tcPr>
            <w:tcW w:w="6725" w:type="dxa"/>
            <w:tcBorders/>
          </w:tcPr>
          <w:p>
            <w:pPr>
              <w:pStyle w:val="TextBody"/>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Polyester Pleated filters in series</w:t>
            </w:r>
          </w:p>
        </w:tc>
      </w:tr>
      <w:tr>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 xml:space="preserve">Turbidity Performance Standards </w:t>
            </w:r>
            <w:r>
              <w:rPr>
                <w:rFonts w:eastAsia="Times New Roman" w:cs="Arial" w:ascii="Arial" w:hAnsi="Arial"/>
                <w:bCs/>
                <w:kern w:val="0"/>
                <w:sz w:val="24"/>
                <w:szCs w:val="24"/>
                <w:vertAlign w:val="superscript"/>
                <w:lang w:val="en-US" w:eastAsia="en-US" w:bidi="ar-SA"/>
              </w:rPr>
              <w:t xml:space="preserve">(b) </w:t>
            </w:r>
            <w:r>
              <w:rPr>
                <w:rFonts w:eastAsia="Times New Roman" w:cs="Arial" w:ascii="Arial" w:hAnsi="Arial"/>
                <w:bCs/>
                <w:kern w:val="0"/>
                <w:sz w:val="24"/>
                <w:szCs w:val="24"/>
                <w:lang w:val="en-US" w:eastAsia="en-US" w:bidi="ar-SA"/>
              </w:rPr>
              <w:t>(that must be met through the water treatment process)</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Turbidity of the filtered water must:</w:t>
            </w:r>
          </w:p>
          <w:p>
            <w:pPr>
              <w:pStyle w:val="TextBody"/>
              <w:widowControl w:val="false"/>
              <w:suppressAutoHyphens w:val="true"/>
              <w:spacing w:before="40" w:after="40"/>
              <w:ind w:left="16" w:right="0" w:hanging="0"/>
              <w:jc w:val="left"/>
              <w:rPr>
                <w:rFonts w:ascii="Arial" w:hAnsi="Arial" w:cs="Arial"/>
                <w:bCs/>
                <w:sz w:val="24"/>
                <w:szCs w:val="24"/>
              </w:rPr>
            </w:pPr>
            <w:r>
              <w:rPr>
                <w:rFonts w:eastAsia="Times New Roman" w:cs="Arial" w:ascii="Arial" w:hAnsi="Arial"/>
                <w:bCs/>
                <w:kern w:val="0"/>
                <w:sz w:val="24"/>
                <w:szCs w:val="24"/>
                <w:lang w:val="en-US" w:eastAsia="en-US" w:bidi="ar-SA"/>
              </w:rPr>
              <w:t xml:space="preserve">1 – Be less than or equal to </w:t>
            </w:r>
            <w:r>
              <w:rPr>
                <w:rFonts w:eastAsia="Times New Roman" w:cs="Arial" w:ascii="Arial" w:hAnsi="Arial"/>
                <w:bCs/>
                <w:kern w:val="0"/>
                <w:sz w:val="24"/>
                <w:szCs w:val="24"/>
                <w:lang w:val="en-US" w:eastAsia="en-US" w:bidi="ar-SA"/>
              </w:rPr>
              <w:t>0</w:t>
            </w:r>
            <w:r>
              <w:rPr>
                <w:rFonts w:eastAsia="Times New Roman" w:cs="Arial" w:ascii="Arial" w:hAnsi="Arial"/>
                <w:bCs/>
                <w:kern w:val="0"/>
                <w:sz w:val="24"/>
                <w:szCs w:val="24"/>
                <w:lang w:val="en-US" w:eastAsia="en-US" w:bidi="ar-SA"/>
              </w:rPr>
              <w:t>.</w:t>
            </w:r>
            <w:r>
              <w:rPr>
                <w:rFonts w:eastAsia="Times New Roman" w:cs="Arial" w:ascii="Arial" w:hAnsi="Arial"/>
                <w:bCs/>
                <w:kern w:val="0"/>
                <w:sz w:val="24"/>
                <w:szCs w:val="24"/>
                <w:lang w:val="en-US" w:eastAsia="en-US" w:bidi="ar-SA"/>
              </w:rPr>
              <w:t>3</w:t>
            </w:r>
          </w:p>
          <w:p>
            <w:pPr>
              <w:pStyle w:val="TextBody"/>
              <w:widowControl w:val="false"/>
              <w:suppressAutoHyphens w:val="true"/>
              <w:spacing w:before="40" w:after="40"/>
              <w:ind w:left="16" w:right="0" w:hanging="0"/>
              <w:jc w:val="left"/>
              <w:rPr>
                <w:rFonts w:ascii="Arial" w:hAnsi="Arial" w:cs="Arial"/>
                <w:bCs/>
                <w:sz w:val="24"/>
                <w:szCs w:val="24"/>
              </w:rPr>
            </w:pPr>
            <w:r>
              <w:rPr>
                <w:rFonts w:eastAsia="Times New Roman" w:cs="Arial" w:ascii="Arial" w:hAnsi="Arial"/>
                <w:bCs/>
                <w:kern w:val="0"/>
                <w:sz w:val="24"/>
                <w:szCs w:val="24"/>
                <w:lang w:val="en-US" w:eastAsia="en-US" w:bidi="ar-SA"/>
              </w:rPr>
              <w:t xml:space="preserve">2 – Not exceed </w:t>
            </w:r>
            <w:r>
              <w:rPr>
                <w:rFonts w:eastAsia="Times New Roman" w:cs="Arial" w:ascii="Arial" w:hAnsi="Arial"/>
                <w:bCs/>
                <w:kern w:val="0"/>
                <w:sz w:val="24"/>
                <w:szCs w:val="24"/>
                <w:lang w:val="en-US" w:eastAsia="en-US" w:bidi="ar-SA"/>
              </w:rPr>
              <w:t>0.3</w:t>
            </w:r>
            <w:r>
              <w:rPr>
                <w:rFonts w:eastAsia="Times New Roman" w:cs="Arial" w:ascii="Arial" w:hAnsi="Arial"/>
                <w:bCs/>
                <w:kern w:val="0"/>
                <w:sz w:val="24"/>
                <w:szCs w:val="24"/>
                <w:lang w:val="en-US" w:eastAsia="en-US" w:bidi="ar-SA"/>
              </w:rPr>
              <w:t xml:space="preserve"> NTU for more than eight consecutive hours.</w:t>
            </w:r>
          </w:p>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 xml:space="preserve">3 – Not exceed </w:t>
            </w:r>
            <w:r>
              <w:rPr>
                <w:rFonts w:eastAsia="Times New Roman" w:cs="Arial" w:ascii="Arial" w:hAnsi="Arial"/>
                <w:bCs/>
                <w:kern w:val="0"/>
                <w:sz w:val="24"/>
                <w:szCs w:val="24"/>
                <w:lang w:val="en-US" w:eastAsia="en-US" w:bidi="ar-SA"/>
              </w:rPr>
              <w:t>1.0</w:t>
            </w:r>
            <w:r>
              <w:rPr>
                <w:rFonts w:eastAsia="Times New Roman" w:cs="Arial" w:ascii="Arial" w:hAnsi="Arial"/>
                <w:bCs/>
                <w:kern w:val="0"/>
                <w:sz w:val="24"/>
                <w:szCs w:val="24"/>
                <w:lang w:val="en-US" w:eastAsia="en-US" w:bidi="ar-SA"/>
              </w:rPr>
              <w:t xml:space="preserve"> NTU at any time.</w:t>
            </w:r>
          </w:p>
        </w:tc>
      </w:tr>
      <w:tr>
        <w:trPr>
          <w:trHeight w:val="490" w:hRule="atLeast"/>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Lowest monthly percentage of samples that met Turbidity Performance Standard No. 1.</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kern w:val="0"/>
                <w:sz w:val="24"/>
                <w:szCs w:val="24"/>
                <w:lang w:val="en-US" w:eastAsia="en-US" w:bidi="ar-SA"/>
              </w:rPr>
              <w:t>93%</w:t>
            </w:r>
          </w:p>
        </w:tc>
      </w:tr>
      <w:tr>
        <w:trPr>
          <w:trHeight w:val="490" w:hRule="atLeast"/>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Highest single turbidity measurement during the year</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kern w:val="0"/>
                <w:sz w:val="24"/>
                <w:szCs w:val="24"/>
                <w:lang w:val="en-US" w:eastAsia="en-US" w:bidi="ar-SA"/>
              </w:rPr>
              <w:t>.</w:t>
            </w:r>
            <w:r>
              <w:rPr>
                <w:rFonts w:eastAsia="Times New Roman" w:cs="Arial" w:ascii="Arial" w:hAnsi="Arial"/>
                <w:kern w:val="0"/>
                <w:sz w:val="24"/>
                <w:szCs w:val="24"/>
                <w:lang w:val="en-US" w:eastAsia="en-US" w:bidi="ar-SA"/>
              </w:rPr>
              <w:t>41 - July 31</w:t>
            </w:r>
            <w:r>
              <w:rPr>
                <w:rFonts w:eastAsia="Times New Roman" w:cs="Arial" w:ascii="Arial" w:hAnsi="Arial"/>
                <w:kern w:val="0"/>
                <w:sz w:val="24"/>
                <w:szCs w:val="24"/>
                <w:vertAlign w:val="superscript"/>
                <w:lang w:val="en-US" w:eastAsia="en-US" w:bidi="ar-SA"/>
              </w:rPr>
              <w:t>st</w:t>
            </w:r>
            <w:r>
              <w:rPr>
                <w:rFonts w:eastAsia="Times New Roman" w:cs="Arial" w:ascii="Arial" w:hAnsi="Arial"/>
                <w:kern w:val="0"/>
                <w:sz w:val="24"/>
                <w:szCs w:val="24"/>
                <w:lang w:val="en-US" w:eastAsia="en-US" w:bidi="ar-SA"/>
              </w:rPr>
              <w:t>, 2025</w:t>
            </w:r>
          </w:p>
        </w:tc>
      </w:tr>
      <w:tr>
        <w:trPr>
          <w:trHeight w:val="490" w:hRule="atLeast"/>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Number of violations of any surface water treatment requirements</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kern w:val="0"/>
                <w:sz w:val="24"/>
                <w:szCs w:val="24"/>
                <w:lang w:val="en-US" w:eastAsia="en-US" w:bidi="ar-SA"/>
              </w:rPr>
              <w:t>1</w:t>
            </w:r>
          </w:p>
        </w:tc>
      </w:tr>
    </w:tbl>
    <w:p>
      <w:pPr>
        <w:pStyle w:val="BlockText"/>
        <w:tabs>
          <w:tab w:val="clear" w:pos="720"/>
          <w:tab w:val="left" w:pos="360" w:leader="none"/>
        </w:tabs>
        <w:spacing w:before="60" w:after="0"/>
        <w:ind w:left="360" w:right="0" w:hanging="360"/>
        <w:rPr>
          <w:rFonts w:ascii="Arial" w:hAnsi="Arial" w:cs="Arial"/>
          <w:b w:val="false"/>
          <w:bCs/>
          <w:sz w:val="24"/>
          <w:szCs w:val="24"/>
        </w:rPr>
      </w:pPr>
      <w:r>
        <w:rPr>
          <w:rFonts w:cs="Arial" w:ascii="Arial" w:hAnsi="Arial"/>
          <w:b w:val="false"/>
          <w:bCs/>
          <w:sz w:val="24"/>
          <w:szCs w:val="24"/>
        </w:rPr>
        <w:t>(a)</w:t>
        <w:tab/>
        <w:t>A required process intended to reduce the level of a contaminant in drinking water.</w:t>
      </w:r>
    </w:p>
    <w:p>
      <w:pPr>
        <w:pStyle w:val="BlockText"/>
        <w:spacing w:before="60" w:after="0"/>
        <w:ind w:left="0" w:right="0" w:hanging="0"/>
        <w:rPr>
          <w:rFonts w:ascii="Arial" w:hAnsi="Arial" w:cs="Arial"/>
          <w:b w:val="false"/>
          <w:bCs/>
          <w:i/>
          <w:i/>
          <w:sz w:val="24"/>
          <w:szCs w:val="24"/>
        </w:rPr>
      </w:pPr>
      <w:r>
        <w:rPr>
          <w:rFonts w:cs="Arial" w:ascii="Arial" w:hAnsi="Arial"/>
          <w:b w:val="false"/>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pPr>
        <w:pStyle w:val="Heading3"/>
        <w:keepNext w:val="true"/>
        <w:spacing w:before="240" w:after="240"/>
        <w:rPr>
          <w:color w:val="auto"/>
        </w:rPr>
      </w:pPr>
      <w:r>
        <w:rPr>
          <w:color w:val="auto"/>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432" w:top="864" w:footer="432" w:bottom="864"/>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Footlight MT Light">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roman"/>
    <w:pitch w:val="variable"/>
  </w:font>
  <w:font w:name="Calibri Light">
    <w:charset w:val="00"/>
    <w:family w:val="roman"/>
    <w:pitch w:val="variable"/>
  </w:font>
  <w:font w:name="SimSun">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 xml:space="preserve">Revised </w:t>
    </w:r>
    <w:r>
      <w:rPr>
        <w:rFonts w:cs="Arial" w:ascii="Arial" w:hAnsi="Arial"/>
        <w:sz w:val="24"/>
        <w:szCs w:val="24"/>
        <w:highlight w:val="yellow"/>
      </w:rPr>
      <w:t>January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 xml:space="preserve">Revised </w:t>
    </w:r>
    <w:r>
      <w:rPr>
        <w:rFonts w:cs="Arial" w:ascii="Arial" w:hAnsi="Arial"/>
        <w:sz w:val="24"/>
        <w:szCs w:val="24"/>
        <w:highlight w:val="yellow"/>
      </w:rPr>
      <w:t>January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4</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xml:space="preserve"> NUMPAGES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4</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xml:space="preserve"> NUMPAGES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1"/>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val="000000" w:themeColor="text1"/>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right"/>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VisitedInternetLink">
    <w:name w:val="FollowedHyperlink"/>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Annotationtext"/>
    <w:qFormat/>
    <w:rsid w:val="00473411"/>
    <w:rPr/>
  </w:style>
  <w:style w:type="character" w:styleId="CommentSubjectChar" w:customStyle="1">
    <w:name w:val="Comment Subject Char"/>
    <w:link w:val="Annotationsubject"/>
    <w:qFormat/>
    <w:rsid w:val="00473411"/>
    <w:rPr>
      <w:b/>
      <w:bCs/>
    </w:rPr>
  </w:style>
  <w:style w:type="character" w:styleId="FootnoteTextChar" w:customStyle="1">
    <w:name w:val="Footnote Text Char"/>
    <w:link w:val="Footnote"/>
    <w:qFormat/>
    <w:rsid w:val="00dd7d18"/>
    <w:rPr>
      <w:sz w:val="24"/>
    </w:rPr>
  </w:style>
  <w:style w:type="character" w:styleId="FootnoteCharacters">
    <w:name w:val="Footnote Characters"/>
    <w:qFormat/>
    <w:rsid w:val="00dd7d18"/>
    <w:rPr>
      <w:vertAlign w:val="superscript"/>
    </w:rPr>
  </w:style>
  <w:style w:type="character" w:styleId="FootnoteAnchor">
    <w:name w:val="Footnote Reference"/>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
    <w:qFormat/>
    <w:rsid w:val="00d62607"/>
    <w:rPr/>
  </w:style>
  <w:style w:type="character" w:styleId="EndnoteCharacters">
    <w:name w:val="Endnote Characters"/>
    <w:qFormat/>
    <w:rsid w:val="00d62607"/>
    <w:rPr>
      <w:vertAlign w:val="superscript"/>
    </w:rPr>
  </w:style>
  <w:style w:type="character" w:styleId="EndnoteAnchor">
    <w:name w:val="Endnote Reference"/>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qFormat/>
    <w:rsid w:val="0025569c"/>
    <w:rPr>
      <w:rFonts w:ascii="Footlight MT Light" w:hAnsi="Footlight MT Light"/>
      <w:sz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Caption1">
    <w:name w:val="caption"/>
    <w:basedOn w:val="Normal"/>
    <w:next w:val="Normal"/>
    <w:qFormat/>
    <w:rsid w:val="00070c22"/>
    <w:pPr>
      <w:keepNext w:val="true"/>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next w:val="Annotationtext"/>
    <w:link w:val="CommentSubjectChar"/>
    <w:qFormat/>
    <w:rsid w:val="00473411"/>
    <w:pPr/>
    <w:rPr>
      <w:b/>
      <w:bCs/>
    </w:rPr>
  </w:style>
  <w:style w:type="paragraph" w:styleId="Footnote">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
    <w:name w:val="Endnote Text"/>
    <w:basedOn w:val="Normal"/>
    <w:link w:val="EndnoteTextChar"/>
    <w:rsid w:val="00d62607"/>
    <w:pPr/>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7b2bc6"/>
    <w:pPr>
      <w:keepLines/>
      <w:spacing w:lineRule="auto" w:line="259" w:before="240" w:after="0"/>
      <w:outlineLvl w:val="9"/>
    </w:pPr>
    <w:rPr>
      <w:rFonts w:ascii="Calibri Light" w:hAnsi="Calibri Light" w:eastAsia="等线 Light" w:cs="Times New Roman"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paragraph" w:styleId="Revision">
    <w:name w:val="Revision"/>
    <w:uiPriority w:val="99"/>
    <w:semiHidden/>
    <w:qFormat/>
    <w:rsid w:val="006a68b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088D274E4894983E8DA8D16F56F9C" ma:contentTypeVersion="14" ma:contentTypeDescription="Create a new document." ma:contentTypeScope="" ma:versionID="00433a6e52c586f67e7e310ecc82489d">
  <xsd:schema xmlns:xsd="http://www.w3.org/2001/XMLSchema" xmlns:xs="http://www.w3.org/2001/XMLSchema" xmlns:p="http://schemas.microsoft.com/office/2006/metadata/properties" xmlns:ns2="d6e3807e-dfb1-4122-93c3-360d19168a65" xmlns:ns3="00dd33d4-ae9f-42af-b450-79826c1d9cba" targetNamespace="http://schemas.microsoft.com/office/2006/metadata/properties" ma:root="true" ma:fieldsID="6f8251a9c1ce8ba35a69869075845c8b" ns2:_="" ns3:_="">
    <xsd:import namespace="d6e3807e-dfb1-4122-93c3-360d19168a65"/>
    <xsd:import namespace="00dd33d4-ae9f-42af-b450-79826c1d9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807e-dfb1-4122-93c3-360d19168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bbdaf8-22c7-4c00-9edd-e77bb9045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d33d4-ae9f-42af-b450-79826c1d9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be43f8-59b8-448a-a5ff-57516eb300ea}" ma:internalName="TaxCatchAll" ma:showField="CatchAllData" ma:web="00dd33d4-ae9f-42af-b450-79826c1d9c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0dd33d4-ae9f-42af-b450-79826c1d9cba" xsi:nil="true"/>
    <lcf76f155ced4ddcb4097134ff3c332f xmlns="d6e3807e-dfb1-4122-93c3-360d19168a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2927C-690E-42D3-8E8E-DADF919B0CE4}"/>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Application>LibreOffice/7.5.6.2$Windows_X86_64 LibreOffice_project/f654817fb68d6d4600d7d2f6b647e47729f55f15</Application>
  <AppVersion>15.0000</AppVersion>
  <Pages>6</Pages>
  <Words>1848</Words>
  <Characters>9921</Characters>
  <CharactersWithSpaces>11565</CharactersWithSpaces>
  <Paragraphs>206</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2026-02-04T13:55:00Z</dcterms:created>
  <dc:creator>SWB - Regulatory Development Unit</dc:creator>
  <dc:description/>
  <cp:keywords>Consumer Confidence Report Small Water System Template</cp:keywords>
  <dc:language>en-US</dc:language>
  <cp:lastModifiedBy/>
  <cp:lastPrinted>2022-01-19T18:53:00Z</cp:lastPrinted>
  <dcterms:modified xsi:type="dcterms:W3CDTF">2026-02-24T15:40:04Z</dcterms:modified>
  <cp:revision>21</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0x01010070F088D274E4894983E8DA8D16F56F9C</vt:lpwstr>
  </property>
  <property fmtid="{D5CDD505-2E9C-101B-9397-08002B2CF9AE}" pid="3" name="MediaServiceImageTags">
    <vt:lpwstr/>
  </property>
  <property fmtid="{D5CDD505-2E9C-101B-9397-08002B2CF9AE}" pid="4" name="docLang">
    <vt:lpwstr>en</vt:lpwstr>
  </property>
</Properties>
</file>