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jc w:val="center"/>
        <w:rPr/>
      </w:pPr>
      <w:bookmarkStart w:id="0" w:name="_Toc58336712"/>
      <w:r>
        <w:rPr/>
        <w:t>2023 Consumer Confidence Report</w:t>
      </w:r>
      <w:bookmarkEnd w:id="0"/>
    </w:p>
    <w:p>
      <w:pPr>
        <w:pStyle w:val="Heading2"/>
        <w:rPr/>
      </w:pPr>
      <w:bookmarkStart w:id="1" w:name="_Toc58336713"/>
      <w:r>
        <w:rPr/>
        <w:t>Water System Information</w:t>
      </w:r>
      <w:bookmarkEnd w:id="1"/>
    </w:p>
    <w:p>
      <w:pPr>
        <w:pStyle w:val="Normal"/>
        <w:spacing w:before="0" w:after="240"/>
        <w:rPr>
          <w:rFonts w:ascii="Arial" w:hAnsi="Arial" w:cs="Arial"/>
          <w:sz w:val="24"/>
          <w:szCs w:val="24"/>
        </w:rPr>
      </w:pPr>
      <w:r>
        <w:rPr>
          <w:rFonts w:cs="Arial" w:ascii="Arial" w:hAnsi="Arial"/>
          <w:sz w:val="24"/>
          <w:szCs w:val="24"/>
        </w:rPr>
        <w:t>Water System Name: Leggett Valley School</w:t>
      </w:r>
    </w:p>
    <w:p>
      <w:pPr>
        <w:pStyle w:val="Normal"/>
        <w:spacing w:before="0" w:after="240"/>
        <w:rPr>
          <w:rFonts w:ascii="Arial" w:hAnsi="Arial" w:cs="Arial"/>
          <w:sz w:val="24"/>
          <w:szCs w:val="24"/>
        </w:rPr>
      </w:pPr>
      <w:r>
        <w:rPr>
          <w:rFonts w:cs="Arial" w:ascii="Arial" w:hAnsi="Arial"/>
          <w:sz w:val="24"/>
          <w:szCs w:val="24"/>
        </w:rPr>
        <w:t>Report Date: 05/20/2024</w:t>
      </w:r>
    </w:p>
    <w:p>
      <w:pPr>
        <w:pStyle w:val="Normal"/>
        <w:spacing w:before="0" w:after="240"/>
        <w:rPr>
          <w:rFonts w:ascii="Arial" w:hAnsi="Arial" w:cs="Arial"/>
          <w:sz w:val="24"/>
          <w:szCs w:val="24"/>
        </w:rPr>
      </w:pPr>
      <w:r>
        <w:rPr>
          <w:rFonts w:cs="Arial" w:ascii="Arial" w:hAnsi="Arial"/>
          <w:sz w:val="24"/>
          <w:szCs w:val="24"/>
        </w:rPr>
        <w:t>Type of Water Source(s) in Use: Well</w:t>
      </w:r>
    </w:p>
    <w:p>
      <w:pPr>
        <w:pStyle w:val="Normal"/>
        <w:spacing w:before="0" w:after="240"/>
        <w:rPr>
          <w:rFonts w:ascii="Arial" w:hAnsi="Arial" w:cs="Arial"/>
          <w:sz w:val="24"/>
          <w:szCs w:val="24"/>
        </w:rPr>
      </w:pPr>
      <w:r>
        <w:rPr>
          <w:rFonts w:cs="Arial" w:ascii="Arial" w:hAnsi="Arial"/>
          <w:sz w:val="24"/>
          <w:szCs w:val="24"/>
        </w:rPr>
        <w:t>Name and General Location of Source(s): Well 02 and Well 03, on southern border of school property</w:t>
      </w:r>
    </w:p>
    <w:p>
      <w:pPr>
        <w:pStyle w:val="Normal"/>
        <w:spacing w:before="0" w:after="240"/>
        <w:rPr>
          <w:rFonts w:ascii="Arial" w:hAnsi="Arial" w:cs="Arial"/>
          <w:sz w:val="24"/>
          <w:szCs w:val="24"/>
        </w:rPr>
      </w:pPr>
      <w:r>
        <w:rPr>
          <w:rFonts w:cs="Arial" w:ascii="Arial" w:hAnsi="Arial"/>
          <w:sz w:val="24"/>
          <w:szCs w:val="24"/>
        </w:rPr>
        <w:t>Time and Place of Regularly Scheduled Board Meetings for Public Participation: On the third Wednesday of each month at 4 PM, either at Leggett School or Whale Gulch School, may be viewed on ZOOM</w:t>
      </w:r>
    </w:p>
    <w:p>
      <w:pPr>
        <w:pStyle w:val="Normal"/>
        <w:rPr>
          <w:rFonts w:ascii="Arial" w:hAnsi="Arial" w:cs="Arial"/>
          <w:sz w:val="24"/>
          <w:szCs w:val="24"/>
        </w:rPr>
      </w:pPr>
      <w:r>
        <w:rPr>
          <w:rFonts w:cs="Arial" w:ascii="Arial" w:hAnsi="Arial"/>
          <w:sz w:val="24"/>
          <w:szCs w:val="24"/>
        </w:rPr>
        <w:t>For More Information, Contact: Sierra Lahera, Superintendent, (707) 925-6285</w:t>
      </w:r>
    </w:p>
    <w:p>
      <w:pPr>
        <w:pStyle w:val="Heading2"/>
        <w:rPr/>
      </w:pPr>
      <w:bookmarkStart w:id="2" w:name="_Toc58336714"/>
      <w:r>
        <w:rPr/>
        <w:t>About This Report</w:t>
      </w:r>
      <w:bookmarkEnd w:id="2"/>
    </w:p>
    <w:p>
      <w:pPr>
        <w:pStyle w:val="Normal"/>
        <w:rPr>
          <w:rFonts w:ascii="Arial" w:hAnsi="Arial" w:cs="Arial"/>
          <w:sz w:val="24"/>
          <w:szCs w:val="24"/>
        </w:rPr>
      </w:pPr>
      <w:r>
        <w:rPr>
          <w:rFonts w:cs="Arial" w:ascii="Arial" w:hAnsi="Arial"/>
          <w:sz w:val="24"/>
          <w:szCs w:val="24"/>
        </w:rPr>
        <w:t>We test the drinking water quality for many constituents as required by state and federal regulations.  This report shows the results of our monitoring for the period of January 1 to December 31, 2023 and may include earlier monitoring data.</w:t>
      </w:r>
    </w:p>
    <w:p>
      <w:pPr>
        <w:pStyle w:val="Heading2"/>
        <w:rPr/>
      </w:pPr>
      <w:r>
        <w:rPr/>
        <w:t>Importance of This Report Statement in Spanish</w:t>
      </w:r>
    </w:p>
    <w:p>
      <w:pPr>
        <w:pStyle w:val="Normal"/>
        <w:spacing w:before="0" w:after="180"/>
        <w:rPr>
          <w:rFonts w:ascii="Arial" w:hAnsi="Arial" w:cs="Arial"/>
          <w:sz w:val="24"/>
          <w:szCs w:val="24"/>
          <w:lang w:val="es-MX"/>
        </w:rPr>
      </w:pPr>
      <w:r>
        <w:rPr>
          <w:rFonts w:cs="Arial" w:ascii="Arial" w:hAnsi="Arial"/>
          <w:sz w:val="24"/>
          <w:szCs w:val="24"/>
        </w:rPr>
        <w:t>Language in Spanish</w:t>
      </w:r>
      <w:r>
        <w:rPr>
          <w:rFonts w:cs="Arial" w:ascii="Arial" w:hAnsi="Arial"/>
          <w:sz w:val="24"/>
          <w:szCs w:val="24"/>
          <w:lang w:val="es-MX"/>
        </w:rPr>
        <w:t xml:space="preserve">:  Este informe contiene información muy importante sobre su agua para beber.  Favor de comunicarse </w:t>
      </w:r>
      <w:r>
        <w:rPr>
          <w:rFonts w:cs="Arial" w:ascii="Arial" w:hAnsi="Arial"/>
          <w:sz w:val="24"/>
          <w:szCs w:val="24"/>
          <w:lang w:val="en-US"/>
        </w:rPr>
        <w:t>Leggett Valley USD</w:t>
      </w:r>
      <w:r>
        <w:rPr>
          <w:rFonts w:cs="Arial" w:ascii="Arial" w:hAnsi="Arial"/>
          <w:sz w:val="24"/>
          <w:szCs w:val="24"/>
          <w:lang w:val="es-MX"/>
        </w:rPr>
        <w:t xml:space="preserve"> a </w:t>
      </w:r>
      <w:r>
        <w:rPr>
          <w:rFonts w:cs="Arial" w:ascii="Arial" w:hAnsi="Arial"/>
          <w:sz w:val="24"/>
          <w:szCs w:val="24"/>
          <w:lang w:val="en-US"/>
        </w:rPr>
        <w:t>(707) 925-6285</w:t>
      </w:r>
      <w:r>
        <w:rPr>
          <w:rFonts w:cs="Arial" w:ascii="Arial" w:hAnsi="Arial"/>
          <w:sz w:val="24"/>
          <w:szCs w:val="24"/>
          <w:lang w:val="es-MX"/>
        </w:rPr>
        <w:t xml:space="preserve"> para asistirlo en español.</w:t>
      </w:r>
    </w:p>
    <w:p>
      <w:pPr>
        <w:pStyle w:val="Normal"/>
        <w:spacing w:before="0" w:after="180"/>
        <w:rPr>
          <w:rFonts w:ascii="Arial" w:hAnsi="Arial" w:eastAsia="PMingLiU" w:cs="Arial"/>
          <w:sz w:val="24"/>
          <w:szCs w:val="24"/>
        </w:rPr>
      </w:pPr>
      <w:r>
        <w:rPr>
          <w:rFonts w:eastAsia="PMingLiU" w:cs="Arial" w:ascii="Arial" w:hAnsi="Arial"/>
          <w:sz w:val="24"/>
          <w:szCs w:val="24"/>
        </w:rPr>
      </w:r>
    </w:p>
    <w:p>
      <w:pPr>
        <w:pStyle w:val="Heading2"/>
        <w:spacing w:before="0" w:after="40"/>
        <w:rPr/>
      </w:pPr>
      <w:bookmarkStart w:id="3" w:name="_Toc58336715"/>
      <w:r>
        <w:rPr/>
        <w:t>Terms Used in This Report</w:t>
      </w:r>
      <w:bookmarkEnd w:id="3"/>
    </w:p>
    <w:tbl>
      <w:tblPr>
        <w:tblStyle w:val="TableGrid"/>
        <w:tblW w:w="10790" w:type="dxa"/>
        <w:jc w:val="left"/>
        <w:tblInd w:w="113" w:type="dxa"/>
        <w:tblLayout w:type="fixed"/>
        <w:tblCellMar>
          <w:top w:w="43" w:type="dxa"/>
          <w:left w:w="108" w:type="dxa"/>
          <w:bottom w:w="43" w:type="dxa"/>
          <w:right w:w="108" w:type="dxa"/>
        </w:tblCellMar>
        <w:tblLook w:firstRow="1" w:noVBand="1" w:lastRow="0" w:firstColumn="1" w:lastColumn="0" w:noHBand="0" w:val="04a0"/>
      </w:tblPr>
      <w:tblGrid>
        <w:gridCol w:w="2695"/>
        <w:gridCol w:w="8094"/>
      </w:tblGrid>
      <w:tr>
        <w:trPr>
          <w:tblHeader w:val="true"/>
          <w:trHeight w:val="226" w:hRule="atLeast"/>
        </w:trPr>
        <w:tc>
          <w:tcPr>
            <w:tcW w:w="2695" w:type="dxa"/>
            <w:tcBorders/>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Term</w:t>
            </w:r>
          </w:p>
        </w:tc>
        <w:tc>
          <w:tcPr>
            <w:tcW w:w="8094" w:type="dxa"/>
            <w:tcBorders/>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Definition</w:t>
            </w:r>
          </w:p>
        </w:tc>
      </w:tr>
      <w:tr>
        <w:trPr/>
        <w:tc>
          <w:tcPr>
            <w:tcW w:w="2695" w:type="dxa"/>
            <w:tcBorders/>
            <w:tcMar>
              <w:left w:w="58" w:type="dxa"/>
              <w:right w:w="86" w:type="dxa"/>
            </w:tcMar>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Level 1 Assessment</w:t>
            </w:r>
          </w:p>
        </w:tc>
        <w:tc>
          <w:tcPr>
            <w:tcW w:w="8094" w:type="dxa"/>
            <w:tcBorders/>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A Level 1 assessment is a study of the water system to identify potential problems and determine (if possible) why total coliform bacteria have been found in our water system.</w:t>
            </w:r>
          </w:p>
        </w:tc>
      </w:tr>
      <w:tr>
        <w:trPr/>
        <w:tc>
          <w:tcPr>
            <w:tcW w:w="2695" w:type="dxa"/>
            <w:tcBorders/>
            <w:tcMar>
              <w:left w:w="58" w:type="dxa"/>
              <w:right w:w="86" w:type="dxa"/>
            </w:tcMar>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Level 2 Assessment</w:t>
            </w:r>
          </w:p>
        </w:tc>
        <w:tc>
          <w:tcPr>
            <w:tcW w:w="8094" w:type="dxa"/>
            <w:tcBorders/>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 xml:space="preserve">A Level 2 assessment is a very detailed study of the water system to identify potential problems and determine (if possible) why an </w:t>
            </w:r>
            <w:r>
              <w:rPr>
                <w:rFonts w:eastAsia="Times New Roman" w:cs="Arial" w:ascii="Arial" w:hAnsi="Arial"/>
                <w:i/>
                <w:kern w:val="0"/>
                <w:sz w:val="24"/>
                <w:szCs w:val="24"/>
                <w:lang w:val="en-US" w:eastAsia="en-US" w:bidi="ar-SA"/>
              </w:rPr>
              <w:t>E. coli</w:t>
            </w:r>
            <w:r>
              <w:rPr>
                <w:rFonts w:eastAsia="Times New Roman" w:cs="Arial" w:ascii="Arial" w:hAnsi="Arial"/>
                <w:kern w:val="0"/>
                <w:sz w:val="24"/>
                <w:szCs w:val="24"/>
                <w:lang w:val="en-US" w:eastAsia="en-US" w:bidi="ar-SA"/>
              </w:rPr>
              <w:t xml:space="preserve"> MCL violation has occurred and/or why total coliform bacteria have been found in our water system on multiple occasions.</w:t>
            </w:r>
          </w:p>
        </w:tc>
      </w:tr>
      <w:tr>
        <w:trPr/>
        <w:tc>
          <w:tcPr>
            <w:tcW w:w="2695" w:type="dxa"/>
            <w:tcBorders/>
            <w:tcMar>
              <w:left w:w="58" w:type="dxa"/>
              <w:right w:w="86" w:type="dxa"/>
            </w:tcMar>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Maximum Contaminant Level (MCL)</w:t>
            </w:r>
          </w:p>
        </w:tc>
        <w:tc>
          <w:tcPr>
            <w:tcW w:w="8094" w:type="dxa"/>
            <w:tcBorders/>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The highest level of a contaminant that is allowed in drinking water.  Primary MCLs are set as close to the PHGs (or MCLGs) as is economically and technologically feasible.  Secondary MCLs are set to protect the odor, taste, and appearance of drinking water.</w:t>
            </w:r>
          </w:p>
        </w:tc>
      </w:tr>
      <w:tr>
        <w:trPr/>
        <w:tc>
          <w:tcPr>
            <w:tcW w:w="2695" w:type="dxa"/>
            <w:tcBorders/>
            <w:tcMar>
              <w:left w:w="58" w:type="dxa"/>
              <w:right w:w="86" w:type="dxa"/>
            </w:tcMar>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Maximum Contaminant Level Goal (MCLG)</w:t>
            </w:r>
          </w:p>
        </w:tc>
        <w:tc>
          <w:tcPr>
            <w:tcW w:w="8094" w:type="dxa"/>
            <w:tcBorders/>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The level of a contaminant in drinking water below which there is no known or expected risk to health.  MCLGs are set by the U.S. Environmental Protection Agency (U.S. EPA).</w:t>
            </w:r>
          </w:p>
        </w:tc>
      </w:tr>
      <w:tr>
        <w:trPr/>
        <w:tc>
          <w:tcPr>
            <w:tcW w:w="2695" w:type="dxa"/>
            <w:tcBorders/>
            <w:tcMar>
              <w:left w:w="58" w:type="dxa"/>
              <w:right w:w="86" w:type="dxa"/>
            </w:tcMar>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Maximum Residual Disinfectant Level (MRDL)</w:t>
            </w:r>
          </w:p>
        </w:tc>
        <w:tc>
          <w:tcPr>
            <w:tcW w:w="8094" w:type="dxa"/>
            <w:tcBorders/>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The highest level of a disinfectant allowed in drinking water.  There is convincing evidence that addition of a disinfectant is necessary for control of microbial contaminants.</w:t>
            </w:r>
          </w:p>
        </w:tc>
      </w:tr>
      <w:tr>
        <w:trPr/>
        <w:tc>
          <w:tcPr>
            <w:tcW w:w="2695" w:type="dxa"/>
            <w:tcBorders/>
            <w:tcMar>
              <w:left w:w="58" w:type="dxa"/>
              <w:right w:w="86" w:type="dxa"/>
            </w:tcMar>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Maximum Residual Disinfectant Level Goal (MRDLG)</w:t>
            </w:r>
          </w:p>
        </w:tc>
        <w:tc>
          <w:tcPr>
            <w:tcW w:w="8094" w:type="dxa"/>
            <w:tcBorders/>
          </w:tcPr>
          <w:p>
            <w:pPr>
              <w:pStyle w:val="Normal"/>
              <w:widowControl w:val="false"/>
              <w:suppressAutoHyphens w:val="true"/>
              <w:spacing w:before="0" w:after="0"/>
              <w:jc w:val="lef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The level of a drinking water disinfectant below which there is no known or expected risk to health.  MRDLGs do not reflect the benefits of the use of disinfectants to control microbial contaminants.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Primary Drinking Water Standards (PDWS)</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MCLs and MRDLs for contaminants that affect health along with their monitoring and reporting requirements, and water treatment requirements.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Public Health Goal</w:t>
            </w:r>
          </w:p>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(PHG)</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The level of a contaminant in drinking water below which there is no known or expected risk to health.  PHGs are set by the California Environmental Protection Agency.</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Regulatory Action Level</w:t>
            </w:r>
          </w:p>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(AL)</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The concentration of a contaminant which, if exceeded, triggers treatment or other requirements that a water system must follow.</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Secondary Drinking Water Standards (SDWS)</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MCLs for contaminants that affect taste, odor, or appearance of the drinking water.  Contaminants with SDWSs do not affect the health at the MCL levels.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Treatment Technique</w:t>
            </w:r>
          </w:p>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(TT)</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A required process intended to reduce the level of a contaminant in drinking water.</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Variances and Exemptions</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Permissions from the State Water Resources Control Board (State Board) to exceed an MCL or not comply with a treatment technique under certain conditions.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ND</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Not detectable at testing limit.</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ppm</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million or milligrams per liter (mg/L)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ppb</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billion or micrograms per liter (µg/L)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ppt</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trillion or nanograms per liter (ng/L)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ppq</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quadrillion or picogram per liter (pg/L)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pCi/L</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picocuries per liter (a measure of radiation)</w:t>
            </w:r>
          </w:p>
        </w:tc>
      </w:tr>
    </w:tbl>
    <w:p>
      <w:pPr>
        <w:pStyle w:val="Heading2"/>
        <w:rPr/>
      </w:pPr>
      <w:bookmarkStart w:id="4" w:name="_Toc58336716"/>
      <w:r>
        <w:rPr/>
        <w:t>Sources of Drinking Water and Contaminants that May Be Present in Source Water</w:t>
      </w:r>
      <w:bookmarkEnd w:id="4"/>
    </w:p>
    <w:p>
      <w:pPr>
        <w:pStyle w:val="Normal"/>
        <w:spacing w:before="0" w:after="240"/>
        <w:rPr>
          <w:rFonts w:ascii="Arial" w:hAnsi="Arial" w:cs="Arial"/>
          <w:sz w:val="24"/>
          <w:szCs w:val="24"/>
        </w:rPr>
      </w:pPr>
      <w:r>
        <w:rPr>
          <w:rFonts w:cs="Arial" w:ascii="Arial" w:hAnsi="Arial"/>
          <w:bCs/>
          <w:sz w:val="24"/>
          <w:szCs w:val="24"/>
        </w:rPr>
        <w:t>The sources of drinking water (</w:t>
      </w:r>
      <w:r>
        <w:rPr>
          <w:rFonts w:cs="Arial" w:ascii="Arial" w:hAnsi="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pStyle w:val="Normal"/>
        <w:spacing w:before="0" w:after="240"/>
        <w:rPr>
          <w:rFonts w:ascii="Arial" w:hAnsi="Arial" w:cs="Arial"/>
          <w:bCs/>
          <w:sz w:val="24"/>
          <w:szCs w:val="24"/>
        </w:rPr>
      </w:pPr>
      <w:r>
        <w:rPr>
          <w:rFonts w:cs="Arial" w:ascii="Arial" w:hAnsi="Arial"/>
          <w:bCs/>
          <w:sz w:val="24"/>
          <w:szCs w:val="24"/>
        </w:rPr>
        <w:t>Contaminants that may be present in source water include:</w:t>
      </w:r>
    </w:p>
    <w:p>
      <w:pPr>
        <w:pStyle w:val="ListParagraph"/>
        <w:numPr>
          <w:ilvl w:val="0"/>
          <w:numId w:val="1"/>
        </w:numPr>
        <w:spacing w:before="0" w:after="240"/>
        <w:rPr/>
      </w:pPr>
      <w:r>
        <w:rPr/>
        <w:t>Microbial contaminants, such as viruses and bacteria, that may come from sewage treatment plants, septic systems, agricultural livestock operations, and wildlife.</w:t>
      </w:r>
    </w:p>
    <w:p>
      <w:pPr>
        <w:pStyle w:val="ListParagraph"/>
        <w:numPr>
          <w:ilvl w:val="0"/>
          <w:numId w:val="1"/>
        </w:numPr>
        <w:spacing w:before="0" w:after="240"/>
        <w:rPr/>
      </w:pPr>
      <w:r>
        <w:rPr/>
        <w:t>Inorganic contaminants, such as salts and metals, that can be naturally occurring or result from urban stormwater runoff, industrial or domestic wastewater discharges, oil and gas production, mining, or farming.</w:t>
      </w:r>
    </w:p>
    <w:p>
      <w:pPr>
        <w:pStyle w:val="ListParagraph"/>
        <w:numPr>
          <w:ilvl w:val="0"/>
          <w:numId w:val="1"/>
        </w:numPr>
        <w:spacing w:before="0" w:after="240"/>
        <w:rPr/>
      </w:pPr>
      <w:r>
        <w:rPr/>
        <w:t>Pesticides and herbicides, that may come from a variety of sources such as agriculture, urban stormwater runoff, and residential uses.</w:t>
      </w:r>
    </w:p>
    <w:p>
      <w:pPr>
        <w:pStyle w:val="ListParagraph"/>
        <w:numPr>
          <w:ilvl w:val="0"/>
          <w:numId w:val="1"/>
        </w:numPr>
        <w:spacing w:before="0" w:after="240"/>
        <w:rPr/>
      </w:pPr>
      <w:r>
        <w:rPr/>
        <w:t>Organic chemical contaminants, including synthetic and volatile organic chemicals, that are byproducts of industrial processes and petroleum production, and can also come from gas stations, urban stormwater runoff, agricultural application, and septic systems.</w:t>
      </w:r>
    </w:p>
    <w:p>
      <w:pPr>
        <w:pStyle w:val="ListParagraph"/>
        <w:numPr>
          <w:ilvl w:val="0"/>
          <w:numId w:val="1"/>
        </w:numPr>
        <w:spacing w:before="0" w:after="0"/>
        <w:rPr/>
      </w:pPr>
      <w:r>
        <w:rPr/>
        <w:t>Radioactive contaminants, that can be naturally occurring or be the result of oil and gas production and mining activities.</w:t>
      </w:r>
    </w:p>
    <w:p>
      <w:pPr>
        <w:pStyle w:val="Heading2"/>
        <w:rPr/>
      </w:pPr>
      <w:r>
        <w:rPr/>
        <w:t>Regulation of Drinking Water and Bottled Water Quality</w:t>
      </w:r>
    </w:p>
    <w:p>
      <w:pPr>
        <w:pStyle w:val="Normal"/>
        <w:rPr>
          <w:rFonts w:ascii="Arial" w:hAnsi="Arial" w:cs="Arial"/>
          <w:sz w:val="24"/>
          <w:szCs w:val="24"/>
        </w:rPr>
      </w:pPr>
      <w:r>
        <w:rPr>
          <w:rFonts w:cs="Arial" w:ascii="Arial" w:hAnsi="Arial"/>
          <w:bCs/>
          <w:sz w:val="24"/>
          <w:szCs w:val="24"/>
        </w:rPr>
        <w:t>In order to ensure that tap water is safe to drink,</w:t>
      </w:r>
      <w:r>
        <w:rPr>
          <w:rFonts w:cs="Arial" w:ascii="Arial" w:hAnsi="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pPr>
        <w:pStyle w:val="Heading2"/>
        <w:rPr/>
      </w:pPr>
      <w:bookmarkStart w:id="5" w:name="_Toc58336717"/>
      <w:r>
        <w:rPr/>
        <w:t>About Your Drinking Water Quality</w:t>
      </w:r>
      <w:bookmarkEnd w:id="5"/>
    </w:p>
    <w:p>
      <w:pPr>
        <w:pStyle w:val="Heading3"/>
        <w:spacing w:before="120" w:after="120"/>
        <w:rPr>
          <w:color w:val="auto"/>
        </w:rPr>
      </w:pPr>
      <w:bookmarkStart w:id="6" w:name="_Hlk57994699"/>
      <w:bookmarkStart w:id="7" w:name="_Toc58336718"/>
      <w:r>
        <w:rPr>
          <w:color w:val="auto"/>
        </w:rPr>
        <w:t>Drinking Water Contaminants Detected</w:t>
      </w:r>
      <w:bookmarkEnd w:id="7"/>
    </w:p>
    <w:p>
      <w:pPr>
        <w:pStyle w:val="Normal"/>
        <w:rPr>
          <w:rFonts w:ascii="Arial" w:hAnsi="Arial" w:cs="Arial"/>
          <w:sz w:val="24"/>
          <w:szCs w:val="24"/>
        </w:rPr>
      </w:pPr>
      <w:r>
        <w:rPr>
          <w:rFonts w:cs="Arial" w:ascii="Arial" w:hAnsi="Arial"/>
          <w:bCs/>
          <w:sz w:val="24"/>
          <w:szCs w:val="24"/>
        </w:rPr>
        <w:t>Tables 1, 2, 3, 4, 5, 6, and 8 list all of the drinking water contaminants that were detected during the most recent sampling for the constituent.</w:t>
      </w:r>
      <w:r>
        <w:rPr>
          <w:rFonts w:cs="Arial" w:ascii="Arial" w:hAnsi="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bookmarkEnd w:id="6"/>
    </w:p>
    <w:p>
      <w:pPr>
        <w:pStyle w:val="Caption1"/>
        <w:rPr/>
      </w:pPr>
      <w:r>
        <w:rPr/>
        <w:t xml:space="preserve">Table </w:t>
      </w:r>
      <w:r>
        <w:rPr/>
        <w:fldChar w:fldCharType="begin"/>
      </w:r>
      <w:r>
        <w:rPr/>
        <w:instrText xml:space="preserve"> SEQ Table \* ARABIC </w:instrText>
      </w:r>
      <w:r>
        <w:rPr/>
        <w:fldChar w:fldCharType="separate"/>
      </w:r>
      <w:r>
        <w:rPr/>
        <w:t>1</w:t>
      </w:r>
      <w:r>
        <w:rPr/>
        <w:fldChar w:fldCharType="end"/>
      </w:r>
      <w:r>
        <w:rPr/>
        <w:t>.  Sampling Results Showing the Detection of Coliform Bacteria</w:t>
      </w:r>
    </w:p>
    <w:p>
      <w:pPr>
        <w:pStyle w:val="Normal"/>
        <w:keepNext w:val="true"/>
        <w:rPr>
          <w:rFonts w:ascii="Arial" w:hAnsi="Arial" w:cs="Arial"/>
          <w:sz w:val="24"/>
          <w:szCs w:val="24"/>
        </w:rPr>
      </w:pPr>
      <w:r>
        <w:rPr>
          <w:rFonts w:cs="Arial" w:ascii="Arial" w:hAnsi="Arial"/>
          <w:sz w:val="24"/>
          <w:szCs w:val="24"/>
        </w:rPr>
        <w:t>Complete if bacteria are detected.</w:t>
      </w:r>
    </w:p>
    <w:p>
      <w:pPr>
        <w:pStyle w:val="Normal"/>
        <w:keepNext w:val="true"/>
        <w:rPr/>
      </w:pPr>
      <w:r>
        <w:rPr/>
      </w:r>
    </w:p>
    <w:tbl>
      <w:tblPr>
        <w:tblStyle w:val="TableGrid"/>
        <w:tblW w:w="10796" w:type="dxa"/>
        <w:jc w:val="left"/>
        <w:tblInd w:w="113" w:type="dxa"/>
        <w:tblLayout w:type="fixed"/>
        <w:tblCellMar>
          <w:top w:w="0" w:type="dxa"/>
          <w:left w:w="108" w:type="dxa"/>
          <w:bottom w:w="0" w:type="dxa"/>
          <w:right w:w="108" w:type="dxa"/>
        </w:tblCellMar>
        <w:tblLook w:firstRow="1" w:noVBand="0" w:lastRow="0" w:firstColumn="1" w:lastColumn="0" w:noHBand="0" w:val="00a0"/>
      </w:tblPr>
      <w:tblGrid>
        <w:gridCol w:w="2065"/>
        <w:gridCol w:w="1617"/>
        <w:gridCol w:w="1442"/>
        <w:gridCol w:w="2611"/>
        <w:gridCol w:w="990"/>
        <w:gridCol w:w="2070"/>
      </w:tblGrid>
      <w:tr>
        <w:trPr>
          <w:tblHeader w:val="true"/>
          <w:trHeight w:val="611" w:hRule="atLeast"/>
          <w:cantSplit w:val="true"/>
        </w:trPr>
        <w:tc>
          <w:tcPr>
            <w:tcW w:w="2065" w:type="dxa"/>
            <w:tcBorders/>
            <w:vAlign w:val="center"/>
          </w:tcPr>
          <w:p>
            <w:pPr>
              <w:pStyle w:val="Normal"/>
              <w:widowControl w:val="false"/>
              <w:suppressAutoHyphens w:val="true"/>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Microbiological Contaminants</w:t>
            </w:r>
          </w:p>
        </w:tc>
        <w:tc>
          <w:tcPr>
            <w:tcW w:w="1617" w:type="dxa"/>
            <w:tcBorders/>
            <w:vAlign w:val="center"/>
          </w:tcPr>
          <w:p>
            <w:pPr>
              <w:pStyle w:val="Normal"/>
              <w:widowControl w:val="false"/>
              <w:suppressAutoHyphens w:val="true"/>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Highest No. of Detections</w:t>
            </w:r>
          </w:p>
        </w:tc>
        <w:tc>
          <w:tcPr>
            <w:tcW w:w="1442" w:type="dxa"/>
            <w:tcBorders/>
            <w:vAlign w:val="center"/>
          </w:tcPr>
          <w:p>
            <w:pPr>
              <w:pStyle w:val="Normal"/>
              <w:widowControl w:val="false"/>
              <w:suppressAutoHyphens w:val="true"/>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No. of Months in Violation</w:t>
            </w:r>
          </w:p>
        </w:tc>
        <w:tc>
          <w:tcPr>
            <w:tcW w:w="2611" w:type="dxa"/>
            <w:tcBorders/>
            <w:vAlign w:val="center"/>
          </w:tcPr>
          <w:p>
            <w:pPr>
              <w:pStyle w:val="Normal"/>
              <w:widowControl w:val="false"/>
              <w:suppressAutoHyphens w:val="true"/>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MCL</w:t>
            </w:r>
          </w:p>
        </w:tc>
        <w:tc>
          <w:tcPr>
            <w:tcW w:w="990" w:type="dxa"/>
            <w:tcBorders/>
            <w:vAlign w:val="center"/>
          </w:tcPr>
          <w:p>
            <w:pPr>
              <w:pStyle w:val="Normal"/>
              <w:widowControl w:val="false"/>
              <w:suppressAutoHyphens w:val="true"/>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MCLG</w:t>
            </w:r>
          </w:p>
        </w:tc>
        <w:tc>
          <w:tcPr>
            <w:tcW w:w="2070" w:type="dxa"/>
            <w:tcBorders/>
            <w:vAlign w:val="center"/>
          </w:tcPr>
          <w:p>
            <w:pPr>
              <w:pStyle w:val="Normal"/>
              <w:widowControl w:val="false"/>
              <w:suppressAutoHyphens w:val="true"/>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Typical Source of Bacteria</w:t>
            </w:r>
          </w:p>
        </w:tc>
      </w:tr>
      <w:tr>
        <w:trPr/>
        <w:tc>
          <w:tcPr>
            <w:tcW w:w="206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i/>
                <w:kern w:val="0"/>
                <w:sz w:val="24"/>
                <w:szCs w:val="24"/>
                <w:lang w:val="en-US" w:eastAsia="en-US" w:bidi="ar-SA"/>
              </w:rPr>
              <w:t>E. coli</w:t>
              <w:br/>
            </w:r>
          </w:p>
        </w:tc>
        <w:tc>
          <w:tcPr>
            <w:tcW w:w="1617"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(In the year)</w:t>
            </w:r>
          </w:p>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No.]</w:t>
            </w:r>
          </w:p>
        </w:tc>
        <w:tc>
          <w:tcPr>
            <w:tcW w:w="144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261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(a)</w:t>
            </w:r>
          </w:p>
        </w:tc>
        <w:tc>
          <w:tcPr>
            <w:tcW w:w="99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207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(a) Routine and repeat samples are total coliform-positive and either is </w:t>
      </w:r>
      <w:r>
        <w:rPr>
          <w:rFonts w:cs="Arial" w:ascii="Arial" w:hAnsi="Arial"/>
          <w:i/>
          <w:sz w:val="24"/>
          <w:szCs w:val="24"/>
        </w:rPr>
        <w:t>E. coli</w:t>
      </w:r>
      <w:r>
        <w:rPr>
          <w:rFonts w:cs="Arial" w:ascii="Arial" w:hAnsi="Arial"/>
          <w:sz w:val="24"/>
          <w:szCs w:val="24"/>
        </w:rPr>
        <w:t xml:space="preserve">-positive or system fails to take repeat samples following </w:t>
      </w:r>
      <w:r>
        <w:rPr>
          <w:rFonts w:cs="Arial" w:ascii="Arial" w:hAnsi="Arial"/>
          <w:i/>
          <w:sz w:val="24"/>
          <w:szCs w:val="24"/>
        </w:rPr>
        <w:t>E. coli</w:t>
      </w:r>
      <w:r>
        <w:rPr>
          <w:rFonts w:cs="Arial" w:ascii="Arial" w:hAnsi="Arial"/>
          <w:sz w:val="24"/>
          <w:szCs w:val="24"/>
        </w:rPr>
        <w:t xml:space="preserve">-positive routine sample or system fails to analyze total coliform-positive repeat sample for </w:t>
      </w:r>
      <w:r>
        <w:rPr>
          <w:rFonts w:cs="Arial" w:ascii="Arial" w:hAnsi="Arial"/>
          <w:i/>
          <w:sz w:val="24"/>
          <w:szCs w:val="24"/>
        </w:rPr>
        <w:t>E. coli</w:t>
      </w:r>
      <w:r>
        <w:rPr>
          <w:rFonts w:cs="Arial" w:ascii="Arial" w:hAnsi="Arial"/>
          <w:sz w:val="24"/>
          <w:szCs w:val="24"/>
        </w:rPr>
        <w:t>.</w:t>
      </w:r>
    </w:p>
    <w:p>
      <w:pPr>
        <w:pStyle w:val="Caption1"/>
        <w:rPr/>
      </w:pPr>
      <w:r>
        <w:rPr/>
        <w:t xml:space="preserve">Table </w:t>
      </w:r>
      <w:r>
        <w:rPr/>
        <w:fldChar w:fldCharType="begin"/>
      </w:r>
      <w:r>
        <w:rPr/>
        <w:instrText xml:space="preserve"> SEQ Table \* ARABIC </w:instrText>
      </w:r>
      <w:r>
        <w:rPr/>
        <w:fldChar w:fldCharType="separate"/>
      </w:r>
      <w:r>
        <w:rPr/>
        <w:t>2</w:t>
      </w:r>
      <w:r>
        <w:rPr/>
        <w:fldChar w:fldCharType="end"/>
      </w:r>
      <w:r>
        <w:rPr/>
        <w:t>.  Sampling Results Showing the Detection of Lead and Copper</w:t>
      </w:r>
    </w:p>
    <w:p>
      <w:pPr>
        <w:pStyle w:val="Normal"/>
        <w:rPr>
          <w:rFonts w:ascii="Arial" w:hAnsi="Arial" w:cs="Arial"/>
          <w:sz w:val="24"/>
          <w:szCs w:val="24"/>
        </w:rPr>
      </w:pPr>
      <w:r>
        <w:rPr>
          <w:rFonts w:cs="Arial" w:ascii="Arial" w:hAnsi="Arial"/>
          <w:sz w:val="24"/>
          <w:szCs w:val="24"/>
        </w:rPr>
        <w:t>Complete if lead or copper is detected in the last sample set.</w:t>
      </w:r>
    </w:p>
    <w:p>
      <w:pPr>
        <w:pStyle w:val="Normal"/>
        <w:rPr/>
      </w:pPr>
      <w:r>
        <w:rPr/>
      </w:r>
    </w:p>
    <w:tbl>
      <w:tblPr>
        <w:tblStyle w:val="TableGrid"/>
        <w:tblW w:w="10818" w:type="dxa"/>
        <w:jc w:val="left"/>
        <w:tblInd w:w="91" w:type="dxa"/>
        <w:tblLayout w:type="fixed"/>
        <w:tblCellMar>
          <w:top w:w="0" w:type="dxa"/>
          <w:left w:w="86" w:type="dxa"/>
          <w:bottom w:w="0" w:type="dxa"/>
          <w:right w:w="86" w:type="dxa"/>
        </w:tblCellMar>
        <w:tblLook w:firstRow="1" w:noVBand="0" w:lastRow="0" w:firstColumn="1" w:lastColumn="0" w:noHBand="0" w:val="00a0"/>
      </w:tblPr>
      <w:tblGrid>
        <w:gridCol w:w="1117"/>
        <w:gridCol w:w="1635"/>
        <w:gridCol w:w="1021"/>
        <w:gridCol w:w="1125"/>
        <w:gridCol w:w="1021"/>
        <w:gridCol w:w="610"/>
        <w:gridCol w:w="609"/>
        <w:gridCol w:w="3678"/>
      </w:tblGrid>
      <w:tr>
        <w:trPr>
          <w:tblHeader w:val="true"/>
          <w:trHeight w:val="1708" w:hRule="atLeast"/>
          <w:cantSplit w:val="true"/>
        </w:trPr>
        <w:tc>
          <w:tcPr>
            <w:tcW w:w="1117" w:type="dxa"/>
            <w:tcBorders/>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Lead and Copper</w:t>
            </w:r>
          </w:p>
        </w:tc>
        <w:tc>
          <w:tcPr>
            <w:tcW w:w="1635" w:type="dxa"/>
            <w:tcBorders/>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Sample Date</w:t>
            </w:r>
          </w:p>
        </w:tc>
        <w:tc>
          <w:tcPr>
            <w:tcW w:w="1021" w:type="dxa"/>
            <w:tcBorders/>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No. of Samples Collected</w:t>
            </w:r>
          </w:p>
        </w:tc>
        <w:tc>
          <w:tcPr>
            <w:tcW w:w="1125" w:type="dxa"/>
            <w:tcBorders/>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90</w:t>
            </w:r>
            <w:r>
              <w:rPr>
                <w:rFonts w:eastAsia="Times New Roman" w:cs="Arial" w:ascii="Arial" w:hAnsi="Arial"/>
                <w:b/>
                <w:bCs/>
                <w:kern w:val="0"/>
                <w:sz w:val="24"/>
                <w:szCs w:val="24"/>
                <w:vertAlign w:val="superscript"/>
                <w:lang w:val="en-US" w:eastAsia="en-US" w:bidi="ar-SA"/>
              </w:rPr>
              <w:t>th</w:t>
            </w:r>
            <w:r>
              <w:rPr>
                <w:rFonts w:eastAsia="Times New Roman" w:cs="Arial" w:ascii="Arial" w:hAnsi="Arial"/>
                <w:b/>
                <w:bCs/>
                <w:kern w:val="0"/>
                <w:sz w:val="24"/>
                <w:szCs w:val="24"/>
                <w:lang w:val="en-US" w:eastAsia="en-US" w:bidi="ar-SA"/>
              </w:rPr>
              <w:t xml:space="preserve"> Percentile Level Detected</w:t>
            </w:r>
          </w:p>
        </w:tc>
        <w:tc>
          <w:tcPr>
            <w:tcW w:w="1021" w:type="dxa"/>
            <w:tcBorders/>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No. Sites Exceeding AL</w:t>
            </w:r>
          </w:p>
        </w:tc>
        <w:tc>
          <w:tcPr>
            <w:tcW w:w="610" w:type="dxa"/>
            <w:tcBorders/>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AL</w:t>
            </w:r>
          </w:p>
        </w:tc>
        <w:tc>
          <w:tcPr>
            <w:tcW w:w="609" w:type="dxa"/>
            <w:tcBorders/>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PHG</w:t>
            </w:r>
          </w:p>
        </w:tc>
        <w:tc>
          <w:tcPr>
            <w:tcW w:w="3678" w:type="dxa"/>
            <w:tcBorders/>
            <w:tcMar>
              <w:left w:w="108" w:type="dxa"/>
              <w:right w:w="108" w:type="dxa"/>
            </w:tcMar>
            <w:textDirection w:val="btLr"/>
            <w:vAlign w:val="center"/>
          </w:tcPr>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Typical Source of</w:t>
            </w:r>
          </w:p>
          <w:p>
            <w:pPr>
              <w:pStyle w:val="Normal"/>
              <w:widowControl w:val="false"/>
              <w:suppressAutoHyphens w:val="true"/>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Contaminant</w:t>
            </w:r>
          </w:p>
        </w:tc>
      </w:tr>
      <w:tr>
        <w:trPr>
          <w:trHeight w:val="1332" w:hRule="atLeast"/>
        </w:trPr>
        <w:tc>
          <w:tcPr>
            <w:tcW w:w="1117"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Lead (ppb)</w:t>
            </w:r>
          </w:p>
        </w:tc>
        <w:tc>
          <w:tcPr>
            <w:tcW w:w="1635"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06/13/23</w:t>
            </w:r>
          </w:p>
        </w:tc>
        <w:tc>
          <w:tcPr>
            <w:tcW w:w="10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w:t>
            </w:r>
          </w:p>
        </w:tc>
        <w:tc>
          <w:tcPr>
            <w:tcW w:w="1125"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1.2</w:t>
            </w:r>
          </w:p>
        </w:tc>
        <w:tc>
          <w:tcPr>
            <w:tcW w:w="10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61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15</w:t>
            </w:r>
          </w:p>
        </w:tc>
        <w:tc>
          <w:tcPr>
            <w:tcW w:w="60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0.2</w:t>
            </w:r>
          </w:p>
        </w:tc>
        <w:tc>
          <w:tcPr>
            <w:tcW w:w="3678"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Internal corrosion of household water plumbing systems; discharges from industrial manufacturers; erosion of natural deposits</w:t>
            </w:r>
          </w:p>
        </w:tc>
      </w:tr>
      <w:tr>
        <w:trPr>
          <w:trHeight w:val="1342" w:hRule="atLeast"/>
        </w:trPr>
        <w:tc>
          <w:tcPr>
            <w:tcW w:w="1117"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Copper (ppm)</w:t>
            </w:r>
          </w:p>
        </w:tc>
        <w:tc>
          <w:tcPr>
            <w:tcW w:w="1635"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06/13/23</w:t>
            </w:r>
          </w:p>
        </w:tc>
        <w:tc>
          <w:tcPr>
            <w:tcW w:w="10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w:t>
            </w:r>
          </w:p>
        </w:tc>
        <w:tc>
          <w:tcPr>
            <w:tcW w:w="1125"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w:t>
            </w:r>
            <w:r>
              <w:rPr>
                <w:rFonts w:eastAsia="Times New Roman" w:cs="Arial" w:ascii="Arial" w:hAnsi="Arial"/>
                <w:kern w:val="0"/>
                <w:sz w:val="24"/>
                <w:szCs w:val="24"/>
                <w:lang w:val="en-US" w:eastAsia="en-US" w:bidi="ar-SA"/>
              </w:rPr>
              <w:t>15</w:t>
            </w:r>
          </w:p>
        </w:tc>
        <w:tc>
          <w:tcPr>
            <w:tcW w:w="10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61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1.3</w:t>
            </w:r>
          </w:p>
        </w:tc>
        <w:tc>
          <w:tcPr>
            <w:tcW w:w="60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0.3</w:t>
            </w:r>
          </w:p>
        </w:tc>
        <w:tc>
          <w:tcPr>
            <w:tcW w:w="3678"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Internal corrosion of household plumbing systems; erosion of natural deposits; leaching from wood preservatives</w:t>
            </w:r>
          </w:p>
        </w:tc>
      </w:tr>
    </w:tbl>
    <w:p>
      <w:pPr>
        <w:pStyle w:val="Caption1"/>
        <w:rPr/>
      </w:pPr>
      <w:r>
        <w:rPr/>
        <w:t xml:space="preserve">Table </w:t>
      </w:r>
      <w:r>
        <w:rPr/>
        <w:fldChar w:fldCharType="begin"/>
      </w:r>
      <w:r>
        <w:rPr/>
        <w:instrText xml:space="preserve"> SEQ Table \* ARABIC </w:instrText>
      </w:r>
      <w:r>
        <w:rPr/>
        <w:fldChar w:fldCharType="separate"/>
      </w:r>
      <w:r>
        <w:rPr/>
        <w:t>3</w:t>
      </w:r>
      <w:r>
        <w:rPr/>
        <w:fldChar w:fldCharType="end"/>
      </w:r>
      <w:r>
        <w:rPr/>
        <w:t>.  Detection of Contaminants with a Primary Drinking Water Standard</w:t>
      </w:r>
    </w:p>
    <w:tbl>
      <w:tblPr>
        <w:tblStyle w:val="TableGrid"/>
        <w:tblW w:w="10811" w:type="dxa"/>
        <w:jc w:val="left"/>
        <w:tblInd w:w="137" w:type="dxa"/>
        <w:tblLayout w:type="fixed"/>
        <w:tblCellMar>
          <w:top w:w="0" w:type="dxa"/>
          <w:left w:w="108" w:type="dxa"/>
          <w:bottom w:w="0" w:type="dxa"/>
          <w:right w:w="108" w:type="dxa"/>
        </w:tblCellMar>
        <w:tblLook w:firstRow="1" w:noVBand="0" w:lastRow="0" w:firstColumn="1" w:lastColumn="0" w:noHBand="0" w:val="00a0"/>
      </w:tblPr>
      <w:tblGrid>
        <w:gridCol w:w="2163"/>
        <w:gridCol w:w="1499"/>
        <w:gridCol w:w="2024"/>
        <w:gridCol w:w="1938"/>
        <w:gridCol w:w="1263"/>
        <w:gridCol w:w="1923"/>
      </w:tblGrid>
      <w:tr>
        <w:trPr>
          <w:trHeight w:val="1511" w:hRule="atLeast"/>
          <w:cantSplit w:val="true"/>
        </w:trPr>
        <w:tc>
          <w:tcPr>
            <w:tcW w:w="2163" w:type="dxa"/>
            <w:tcBorders/>
            <w:vAlign w:val="center"/>
          </w:tcPr>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Chemical or Constituent</w:t>
            </w:r>
          </w:p>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(and</w:t>
            </w:r>
          </w:p>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reporting units)</w:t>
            </w:r>
          </w:p>
        </w:tc>
        <w:tc>
          <w:tcPr>
            <w:tcW w:w="1499" w:type="dxa"/>
            <w:tcBorders/>
            <w:vAlign w:val="center"/>
          </w:tcPr>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Sample Date</w:t>
            </w:r>
          </w:p>
        </w:tc>
        <w:tc>
          <w:tcPr>
            <w:tcW w:w="2024" w:type="dxa"/>
            <w:tcBorders/>
            <w:tcMar>
              <w:left w:w="72" w:type="dxa"/>
              <w:right w:w="72" w:type="dxa"/>
            </w:tcMar>
            <w:vAlign w:val="center"/>
          </w:tcPr>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Level Detected</w:t>
            </w:r>
          </w:p>
        </w:tc>
        <w:tc>
          <w:tcPr>
            <w:tcW w:w="1938" w:type="dxa"/>
            <w:tcBorders/>
            <w:vAlign w:val="center"/>
          </w:tcPr>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MCL [MRDL]</w:t>
            </w:r>
          </w:p>
        </w:tc>
        <w:tc>
          <w:tcPr>
            <w:tcW w:w="1263" w:type="dxa"/>
            <w:tcBorders/>
            <w:vAlign w:val="center"/>
          </w:tcPr>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PHG (MCLG) [MRDLG]</w:t>
            </w:r>
          </w:p>
        </w:tc>
        <w:tc>
          <w:tcPr>
            <w:tcW w:w="1923" w:type="dxa"/>
            <w:tcBorders/>
            <w:vAlign w:val="center"/>
          </w:tcPr>
          <w:p>
            <w:pPr>
              <w:pStyle w:val="Normal"/>
              <w:keepNext w:val="true"/>
              <w:keepLines/>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Typical Source of Contaminant</w:t>
            </w:r>
          </w:p>
        </w:tc>
      </w:tr>
      <w:tr>
        <w:trPr>
          <w:trHeight w:val="432" w:hRule="atLeast"/>
        </w:trPr>
        <w:tc>
          <w:tcPr>
            <w:tcW w:w="2163" w:type="dxa"/>
            <w:tcBorders/>
            <w:tcMar>
              <w:left w:w="58" w:type="dxa"/>
              <w:right w:w="58" w:type="dxa"/>
            </w:tcMar>
          </w:tcPr>
          <w:p>
            <w:pPr>
              <w:pStyle w:val="Normal"/>
              <w:keepNext w:val="true"/>
              <w:keepLines/>
              <w:widowControl w:val="false"/>
              <w:suppressAutoHyphens w:val="true"/>
              <w:spacing w:before="40" w:after="40"/>
              <w:ind w:left="30" w:right="0" w:hanging="0"/>
              <w:jc w:val="both"/>
              <w:rPr>
                <w:rFonts w:ascii="Arial" w:hAnsi="Arial" w:cs="Arial"/>
                <w:sz w:val="24"/>
                <w:szCs w:val="24"/>
              </w:rPr>
            </w:pPr>
            <w:r>
              <w:rPr>
                <w:rFonts w:eastAsia="Times New Roman" w:cs="Arial" w:ascii="Arial" w:hAnsi="Arial"/>
                <w:kern w:val="0"/>
                <w:sz w:val="24"/>
                <w:szCs w:val="24"/>
                <w:lang w:val="en-US" w:eastAsia="en-US" w:bidi="ar-SA"/>
              </w:rPr>
              <w:t>Total Nitrates</w:t>
            </w:r>
          </w:p>
          <w:p>
            <w:pPr>
              <w:pStyle w:val="Normal"/>
              <w:widowControl w:val="false"/>
              <w:suppressAutoHyphens w:val="true"/>
              <w:spacing w:before="40" w:after="40"/>
              <w:ind w:left="30" w:right="0" w:hanging="0"/>
              <w:jc w:val="both"/>
              <w:rPr>
                <w:rFonts w:ascii="Arial" w:hAnsi="Arial" w:cs="Arial"/>
                <w:sz w:val="24"/>
                <w:szCs w:val="24"/>
              </w:rPr>
            </w:pPr>
            <w:r>
              <w:rPr>
                <w:rFonts w:eastAsia="Times New Roman" w:cs="Arial" w:ascii="Arial" w:hAnsi="Arial"/>
                <w:kern w:val="0"/>
                <w:sz w:val="24"/>
                <w:szCs w:val="24"/>
                <w:lang w:val="en-US" w:eastAsia="en-US" w:bidi="ar-SA"/>
              </w:rPr>
              <w:t>(ppm)</w:t>
            </w:r>
          </w:p>
        </w:tc>
        <w:tc>
          <w:tcPr>
            <w:tcW w:w="1499"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03/21/23</w:t>
            </w:r>
          </w:p>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11/14/23</w:t>
            </w:r>
          </w:p>
        </w:tc>
        <w:tc>
          <w:tcPr>
            <w:tcW w:w="2024"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938"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10</w:t>
            </w:r>
          </w:p>
        </w:tc>
        <w:tc>
          <w:tcPr>
            <w:tcW w:w="1263"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10</w:t>
            </w:r>
          </w:p>
        </w:tc>
        <w:tc>
          <w:tcPr>
            <w:tcW w:w="1923"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Runoff or leakage from fertilizer, wastewater, septic systems, or animal feed</w:t>
            </w:r>
          </w:p>
        </w:tc>
      </w:tr>
      <w:tr>
        <w:trPr>
          <w:trHeight w:val="432" w:hRule="atLeast"/>
        </w:trPr>
        <w:tc>
          <w:tcPr>
            <w:tcW w:w="2163" w:type="dxa"/>
            <w:tcBorders/>
            <w:tcMar>
              <w:left w:w="58" w:type="dxa"/>
              <w:right w:w="58" w:type="dxa"/>
            </w:tcMar>
          </w:tcPr>
          <w:p>
            <w:pPr>
              <w:pStyle w:val="Normal"/>
              <w:widowControl w:val="false"/>
              <w:suppressAutoHyphens w:val="true"/>
              <w:spacing w:before="40" w:after="40"/>
              <w:ind w:left="30" w:right="0" w:hanging="0"/>
              <w:jc w:val="both"/>
              <w:rPr>
                <w:rFonts w:ascii="Arial" w:hAnsi="Arial" w:cs="Arial"/>
                <w:sz w:val="24"/>
                <w:szCs w:val="24"/>
              </w:rPr>
            </w:pPr>
            <w:r>
              <w:rPr>
                <w:rFonts w:eastAsia="Times New Roman" w:cs="Arial" w:ascii="Arial" w:hAnsi="Arial"/>
                <w:kern w:val="0"/>
                <w:sz w:val="24"/>
                <w:szCs w:val="24"/>
                <w:lang w:val="en-US" w:eastAsia="en-US" w:bidi="ar-SA"/>
              </w:rPr>
              <w:t>Aluminum (ppm)</w:t>
            </w:r>
          </w:p>
        </w:tc>
        <w:tc>
          <w:tcPr>
            <w:tcW w:w="149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11/14/23</w:t>
            </w:r>
          </w:p>
        </w:tc>
        <w:tc>
          <w:tcPr>
            <w:tcW w:w="2024"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.24</w:t>
            </w:r>
          </w:p>
        </w:tc>
        <w:tc>
          <w:tcPr>
            <w:tcW w:w="1938"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w:t>
            </w:r>
          </w:p>
        </w:tc>
        <w:tc>
          <w:tcPr>
            <w:tcW w:w="1263"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w:t>
            </w:r>
          </w:p>
        </w:tc>
        <w:tc>
          <w:tcPr>
            <w:tcW w:w="1923"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Present naturally in water supplies, natural erosion of minerals, leaching from cement and mortar pipes, some industrial processes and degrading of garbage.</w:t>
            </w:r>
          </w:p>
        </w:tc>
      </w:tr>
      <w:tr>
        <w:trPr>
          <w:trHeight w:val="432" w:hRule="atLeast"/>
        </w:trPr>
        <w:tc>
          <w:tcPr>
            <w:tcW w:w="2163" w:type="dxa"/>
            <w:tcBorders/>
            <w:tcMar>
              <w:left w:w="58" w:type="dxa"/>
              <w:right w:w="58" w:type="dxa"/>
            </w:tcMar>
          </w:tcPr>
          <w:p>
            <w:pPr>
              <w:pStyle w:val="Normal"/>
              <w:widowControl w:val="false"/>
              <w:suppressAutoHyphens w:val="true"/>
              <w:spacing w:before="40" w:after="40"/>
              <w:ind w:left="30" w:right="0" w:hanging="0"/>
              <w:jc w:val="both"/>
              <w:rPr>
                <w:rFonts w:ascii="Arial" w:hAnsi="Arial" w:cs="Arial"/>
                <w:sz w:val="24"/>
                <w:szCs w:val="24"/>
              </w:rPr>
            </w:pPr>
            <w:r>
              <w:rPr>
                <w:rFonts w:eastAsia="Times New Roman" w:cs="Arial" w:ascii="Arial" w:hAnsi="Arial"/>
                <w:kern w:val="0"/>
                <w:sz w:val="24"/>
                <w:szCs w:val="24"/>
                <w:lang w:val="en-US" w:eastAsia="en-US" w:bidi="ar-SA"/>
              </w:rPr>
              <w:t>Mercury</w:t>
            </w:r>
          </w:p>
          <w:p>
            <w:pPr>
              <w:pStyle w:val="Normal"/>
              <w:widowControl w:val="false"/>
              <w:suppressAutoHyphens w:val="true"/>
              <w:spacing w:before="40" w:after="40"/>
              <w:ind w:left="30" w:right="0" w:hanging="0"/>
              <w:jc w:val="both"/>
              <w:rPr>
                <w:rFonts w:ascii="Arial" w:hAnsi="Arial" w:cs="Arial"/>
                <w:sz w:val="24"/>
                <w:szCs w:val="24"/>
              </w:rPr>
            </w:pPr>
            <w:r>
              <w:rPr>
                <w:rFonts w:eastAsia="Times New Roman" w:cs="Arial" w:ascii="Arial" w:hAnsi="Arial"/>
                <w:kern w:val="0"/>
                <w:sz w:val="24"/>
                <w:szCs w:val="24"/>
                <w:lang w:val="en-US" w:eastAsia="en-US" w:bidi="ar-SA"/>
              </w:rPr>
              <w:t>(ppb)</w:t>
            </w:r>
          </w:p>
        </w:tc>
        <w:tc>
          <w:tcPr>
            <w:tcW w:w="149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11/14/23</w:t>
            </w:r>
          </w:p>
        </w:tc>
        <w:tc>
          <w:tcPr>
            <w:tcW w:w="2024"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938"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w:t>
            </w:r>
          </w:p>
        </w:tc>
        <w:tc>
          <w:tcPr>
            <w:tcW w:w="1263"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1.2</w:t>
            </w:r>
          </w:p>
        </w:tc>
        <w:tc>
          <w:tcPr>
            <w:tcW w:w="1923"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Burning fossil fuels, industrial waste, naturally occurs in some soil</w:t>
            </w:r>
          </w:p>
        </w:tc>
      </w:tr>
      <w:tr>
        <w:trPr>
          <w:trHeight w:val="432" w:hRule="atLeast"/>
        </w:trPr>
        <w:tc>
          <w:tcPr>
            <w:tcW w:w="2163" w:type="dxa"/>
            <w:tcBorders>
              <w:top w:val="nil"/>
            </w:tcBorders>
            <w:tcMar>
              <w:left w:w="58" w:type="dxa"/>
              <w:right w:w="58" w:type="dxa"/>
            </w:tcMar>
          </w:tcPr>
          <w:p>
            <w:pPr>
              <w:pStyle w:val="Normal"/>
              <w:widowControl w:val="false"/>
              <w:suppressAutoHyphens w:val="true"/>
              <w:spacing w:before="40" w:after="40"/>
              <w:ind w:left="30" w:right="0" w:hanging="0"/>
              <w:jc w:val="both"/>
              <w:rPr>
                <w:rFonts w:ascii="Arial" w:hAnsi="Arial" w:cs="Arial"/>
                <w:sz w:val="24"/>
                <w:szCs w:val="24"/>
              </w:rPr>
            </w:pPr>
            <w:r>
              <w:rPr>
                <w:rFonts w:cs="Arial" w:ascii="Arial" w:hAnsi="Arial"/>
                <w:sz w:val="24"/>
                <w:szCs w:val="24"/>
              </w:rPr>
              <w:t>Barium (ppm)</w:t>
            </w:r>
          </w:p>
        </w:tc>
        <w:tc>
          <w:tcPr>
            <w:tcW w:w="1499" w:type="dxa"/>
            <w:tcBorders>
              <w:top w:val="nil"/>
            </w:tcBorders>
          </w:tcPr>
          <w:p>
            <w:pPr>
              <w:pStyle w:val="Normal"/>
              <w:widowControl w:val="false"/>
              <w:suppressAutoHyphens w:val="true"/>
              <w:spacing w:before="40" w:after="40"/>
              <w:jc w:val="center"/>
              <w:rPr>
                <w:rFonts w:ascii="Arial" w:hAnsi="Arial" w:eastAsia="Times New Roman" w:cs="Arial"/>
                <w:color w:val="auto"/>
                <w:kern w:val="0"/>
                <w:sz w:val="24"/>
                <w:szCs w:val="24"/>
                <w:lang w:val="en-US" w:eastAsia="en-US" w:bidi="ar-SA"/>
              </w:rPr>
            </w:pPr>
            <w:r>
              <w:rPr>
                <w:rFonts w:eastAsia="Times New Roman" w:cs="Arial" w:ascii="Arial" w:hAnsi="Arial"/>
                <w:color w:val="auto"/>
                <w:kern w:val="0"/>
                <w:sz w:val="24"/>
                <w:szCs w:val="24"/>
                <w:lang w:val="en-US" w:eastAsia="en-US" w:bidi="ar-SA"/>
              </w:rPr>
              <w:t>11/14/23</w:t>
            </w:r>
          </w:p>
        </w:tc>
        <w:tc>
          <w:tcPr>
            <w:tcW w:w="2024" w:type="dxa"/>
            <w:tcBorders>
              <w:top w:val="nil"/>
            </w:tcBorders>
          </w:tcPr>
          <w:p>
            <w:pPr>
              <w:pStyle w:val="Normal"/>
              <w:widowControl w:val="false"/>
              <w:suppressAutoHyphens w:val="true"/>
              <w:spacing w:before="40" w:after="40"/>
              <w:jc w:val="center"/>
              <w:rPr>
                <w:rFonts w:ascii="Arial" w:hAnsi="Arial" w:eastAsia="Times New Roman" w:cs="Arial"/>
                <w:color w:val="auto"/>
                <w:kern w:val="0"/>
                <w:sz w:val="24"/>
                <w:szCs w:val="24"/>
                <w:lang w:val="en-US" w:eastAsia="en-US" w:bidi="ar-SA"/>
              </w:rPr>
            </w:pPr>
            <w:r>
              <w:rPr>
                <w:rFonts w:eastAsia="Times New Roman" w:cs="Arial" w:ascii="Arial" w:hAnsi="Arial"/>
                <w:color w:val="auto"/>
                <w:kern w:val="0"/>
                <w:sz w:val="24"/>
                <w:szCs w:val="24"/>
                <w:lang w:val="en-US" w:eastAsia="en-US" w:bidi="ar-SA"/>
              </w:rPr>
              <w:t>.4</w:t>
            </w:r>
          </w:p>
        </w:tc>
        <w:tc>
          <w:tcPr>
            <w:tcW w:w="1938" w:type="dxa"/>
            <w:tcBorders>
              <w:top w:val="nil"/>
            </w:tcBorders>
          </w:tcPr>
          <w:p>
            <w:pPr>
              <w:pStyle w:val="Normal"/>
              <w:widowControl w:val="false"/>
              <w:suppressAutoHyphens w:val="true"/>
              <w:spacing w:before="40" w:after="40"/>
              <w:jc w:val="center"/>
              <w:rPr>
                <w:rFonts w:ascii="Arial" w:hAnsi="Arial" w:eastAsia="Times New Roman" w:cs="Arial"/>
                <w:color w:val="auto"/>
                <w:kern w:val="0"/>
                <w:sz w:val="24"/>
                <w:szCs w:val="24"/>
                <w:lang w:val="en-US" w:eastAsia="en-US" w:bidi="ar-SA"/>
              </w:rPr>
            </w:pPr>
            <w:r>
              <w:rPr>
                <w:rFonts w:eastAsia="Times New Roman" w:cs="Arial" w:ascii="Arial" w:hAnsi="Arial"/>
                <w:color w:val="auto"/>
                <w:kern w:val="0"/>
                <w:sz w:val="24"/>
                <w:szCs w:val="24"/>
                <w:lang w:val="en-US" w:eastAsia="en-US" w:bidi="ar-SA"/>
              </w:rPr>
              <w:t>1</w:t>
            </w:r>
          </w:p>
        </w:tc>
        <w:tc>
          <w:tcPr>
            <w:tcW w:w="1263" w:type="dxa"/>
            <w:tcBorders>
              <w:top w:val="nil"/>
            </w:tcBorders>
          </w:tcPr>
          <w:p>
            <w:pPr>
              <w:pStyle w:val="Normal"/>
              <w:widowControl w:val="false"/>
              <w:suppressAutoHyphens w:val="true"/>
              <w:spacing w:before="40" w:after="40"/>
              <w:jc w:val="center"/>
              <w:rPr>
                <w:rFonts w:ascii="Arial" w:hAnsi="Arial" w:eastAsia="Times New Roman" w:cs="Arial"/>
                <w:color w:val="auto"/>
                <w:kern w:val="0"/>
                <w:sz w:val="24"/>
                <w:szCs w:val="24"/>
                <w:lang w:val="en-US" w:eastAsia="en-US" w:bidi="ar-SA"/>
              </w:rPr>
            </w:pPr>
            <w:r>
              <w:rPr>
                <w:rFonts w:eastAsia="Times New Roman" w:cs="Arial" w:ascii="Arial" w:hAnsi="Arial"/>
                <w:color w:val="auto"/>
                <w:kern w:val="0"/>
                <w:sz w:val="24"/>
                <w:szCs w:val="24"/>
                <w:lang w:val="en-US" w:eastAsia="en-US" w:bidi="ar-SA"/>
              </w:rPr>
              <w:t>1</w:t>
            </w:r>
          </w:p>
        </w:tc>
        <w:tc>
          <w:tcPr>
            <w:tcW w:w="1923" w:type="dxa"/>
            <w:tcBorders>
              <w:top w:val="nil"/>
            </w:tcBorders>
          </w:tcPr>
          <w:p>
            <w:pPr>
              <w:pStyle w:val="Normal"/>
              <w:widowControl w:val="false"/>
              <w:suppressAutoHyphens w:val="true"/>
              <w:spacing w:before="40" w:after="40"/>
              <w:jc w:val="center"/>
              <w:rPr>
                <w:rFonts w:ascii="Arial" w:hAnsi="Arial" w:eastAsia="Times New Roman" w:cs="Arial"/>
                <w:color w:val="auto"/>
                <w:kern w:val="0"/>
                <w:sz w:val="24"/>
                <w:szCs w:val="24"/>
                <w:lang w:val="en-US" w:eastAsia="en-US" w:bidi="ar-SA"/>
              </w:rPr>
            </w:pPr>
            <w:r>
              <w:rPr>
                <w:rFonts w:eastAsia="Times New Roman" w:cs="Arial" w:ascii="Arial" w:hAnsi="Arial"/>
                <w:color w:val="auto"/>
                <w:kern w:val="0"/>
                <w:sz w:val="24"/>
                <w:szCs w:val="24"/>
                <w:lang w:val="en-US" w:eastAsia="en-US" w:bidi="ar-SA"/>
              </w:rPr>
              <w:t>Erosion or mechanical breakdown of minerals</w:t>
            </w:r>
          </w:p>
        </w:tc>
      </w:tr>
      <w:tr>
        <w:trPr>
          <w:trHeight w:val="432" w:hRule="atLeast"/>
        </w:trPr>
        <w:tc>
          <w:tcPr>
            <w:tcW w:w="2163" w:type="dxa"/>
            <w:tcBorders>
              <w:top w:val="nil"/>
            </w:tcBorders>
            <w:tcMar>
              <w:left w:w="58" w:type="dxa"/>
              <w:right w:w="58" w:type="dxa"/>
            </w:tcMar>
          </w:tcPr>
          <w:p>
            <w:pPr>
              <w:pStyle w:val="Normal"/>
              <w:widowControl w:val="false"/>
              <w:suppressAutoHyphens w:val="true"/>
              <w:spacing w:before="40" w:after="40"/>
              <w:ind w:left="30" w:right="0" w:hanging="0"/>
              <w:jc w:val="both"/>
              <w:rPr>
                <w:rFonts w:ascii="Arial" w:hAnsi="Arial" w:cs="Arial"/>
                <w:sz w:val="24"/>
                <w:szCs w:val="24"/>
              </w:rPr>
            </w:pPr>
            <w:r>
              <w:rPr>
                <w:rFonts w:cs="Arial" w:ascii="Arial" w:hAnsi="Arial"/>
                <w:sz w:val="24"/>
                <w:szCs w:val="24"/>
              </w:rPr>
              <w:t>Arsenic (ppb)</w:t>
            </w:r>
          </w:p>
        </w:tc>
        <w:tc>
          <w:tcPr>
            <w:tcW w:w="1499" w:type="dxa"/>
            <w:tcBorders>
              <w:top w:val="nil"/>
            </w:tcBorders>
          </w:tcPr>
          <w:p>
            <w:pPr>
              <w:pStyle w:val="Normal"/>
              <w:widowControl w:val="false"/>
              <w:suppressAutoHyphens w:val="true"/>
              <w:spacing w:before="40" w:after="40"/>
              <w:jc w:val="center"/>
              <w:rPr>
                <w:rFonts w:ascii="Arial" w:hAnsi="Arial" w:eastAsia="Times New Roman" w:cs="Arial"/>
                <w:color w:val="auto"/>
                <w:kern w:val="0"/>
                <w:sz w:val="24"/>
                <w:szCs w:val="24"/>
                <w:lang w:val="en-US" w:eastAsia="en-US" w:bidi="ar-SA"/>
              </w:rPr>
            </w:pPr>
            <w:r>
              <w:rPr>
                <w:rFonts w:eastAsia="Times New Roman" w:cs="Arial" w:ascii="Arial" w:hAnsi="Arial"/>
                <w:color w:val="auto"/>
                <w:kern w:val="0"/>
                <w:sz w:val="24"/>
                <w:szCs w:val="24"/>
                <w:lang w:val="en-US" w:eastAsia="en-US" w:bidi="ar-SA"/>
              </w:rPr>
              <w:t>11/14/23</w:t>
            </w:r>
          </w:p>
        </w:tc>
        <w:tc>
          <w:tcPr>
            <w:tcW w:w="2024" w:type="dxa"/>
            <w:tcBorders>
              <w:top w:val="nil"/>
            </w:tcBorders>
          </w:tcPr>
          <w:p>
            <w:pPr>
              <w:pStyle w:val="Normal"/>
              <w:widowControl w:val="false"/>
              <w:suppressAutoHyphens w:val="true"/>
              <w:spacing w:before="40" w:after="40"/>
              <w:jc w:val="center"/>
              <w:rPr>
                <w:rFonts w:ascii="Arial" w:hAnsi="Arial" w:eastAsia="Times New Roman" w:cs="Arial"/>
                <w:color w:val="auto"/>
                <w:kern w:val="0"/>
                <w:sz w:val="24"/>
                <w:szCs w:val="24"/>
                <w:lang w:val="en-US" w:eastAsia="en-US" w:bidi="ar-SA"/>
              </w:rPr>
            </w:pPr>
            <w:r>
              <w:rPr>
                <w:rFonts w:eastAsia="Times New Roman" w:cs="Arial" w:ascii="Arial" w:hAnsi="Arial"/>
                <w:color w:val="auto"/>
                <w:kern w:val="0"/>
                <w:sz w:val="24"/>
                <w:szCs w:val="24"/>
                <w:lang w:val="en-US" w:eastAsia="en-US" w:bidi="ar-SA"/>
              </w:rPr>
              <w:t>2.3</w:t>
            </w:r>
          </w:p>
        </w:tc>
        <w:tc>
          <w:tcPr>
            <w:tcW w:w="1938" w:type="dxa"/>
            <w:tcBorders>
              <w:top w:val="nil"/>
            </w:tcBorders>
          </w:tcPr>
          <w:p>
            <w:pPr>
              <w:pStyle w:val="Normal"/>
              <w:widowControl w:val="false"/>
              <w:suppressAutoHyphens w:val="true"/>
              <w:spacing w:before="40" w:after="40"/>
              <w:jc w:val="center"/>
              <w:rPr>
                <w:rFonts w:ascii="Arial" w:hAnsi="Arial" w:eastAsia="Times New Roman" w:cs="Arial"/>
                <w:color w:val="auto"/>
                <w:kern w:val="0"/>
                <w:sz w:val="24"/>
                <w:szCs w:val="24"/>
                <w:lang w:val="en-US" w:eastAsia="en-US" w:bidi="ar-SA"/>
              </w:rPr>
            </w:pPr>
            <w:r>
              <w:rPr>
                <w:rFonts w:eastAsia="Times New Roman" w:cs="Arial" w:ascii="Arial" w:hAnsi="Arial"/>
                <w:color w:val="auto"/>
                <w:kern w:val="0"/>
                <w:sz w:val="24"/>
                <w:szCs w:val="24"/>
                <w:lang w:val="en-US" w:eastAsia="en-US" w:bidi="ar-SA"/>
              </w:rPr>
              <w:t>10</w:t>
            </w:r>
          </w:p>
        </w:tc>
        <w:tc>
          <w:tcPr>
            <w:tcW w:w="1263" w:type="dxa"/>
            <w:tcBorders>
              <w:top w:val="nil"/>
            </w:tcBorders>
          </w:tcPr>
          <w:p>
            <w:pPr>
              <w:pStyle w:val="Normal"/>
              <w:widowControl w:val="false"/>
              <w:suppressAutoHyphens w:val="true"/>
              <w:spacing w:before="40" w:after="40"/>
              <w:jc w:val="center"/>
              <w:rPr>
                <w:rFonts w:ascii="Arial" w:hAnsi="Arial" w:eastAsia="Times New Roman" w:cs="Arial"/>
                <w:color w:val="auto"/>
                <w:kern w:val="0"/>
                <w:sz w:val="24"/>
                <w:szCs w:val="24"/>
                <w:lang w:val="en-US" w:eastAsia="en-US" w:bidi="ar-SA"/>
              </w:rPr>
            </w:pPr>
            <w:r>
              <w:rPr>
                <w:rFonts w:eastAsia="Times New Roman" w:cs="Arial" w:ascii="Arial" w:hAnsi="Arial"/>
                <w:color w:val="auto"/>
                <w:kern w:val="0"/>
                <w:sz w:val="24"/>
                <w:szCs w:val="24"/>
                <w:lang w:val="en-US" w:eastAsia="en-US" w:bidi="ar-SA"/>
              </w:rPr>
              <w:t>0</w:t>
            </w:r>
          </w:p>
        </w:tc>
        <w:tc>
          <w:tcPr>
            <w:tcW w:w="1923" w:type="dxa"/>
            <w:tcBorders>
              <w:top w:val="nil"/>
            </w:tcBorders>
          </w:tcPr>
          <w:p>
            <w:pPr>
              <w:pStyle w:val="Normal"/>
              <w:widowControl w:val="false"/>
              <w:suppressAutoHyphens w:val="true"/>
              <w:spacing w:before="40" w:after="40"/>
              <w:jc w:val="center"/>
              <w:rPr>
                <w:rFonts w:ascii="Arial" w:hAnsi="Arial" w:eastAsia="Times New Roman" w:cs="Arial"/>
                <w:color w:val="auto"/>
                <w:kern w:val="0"/>
                <w:sz w:val="24"/>
                <w:szCs w:val="24"/>
                <w:lang w:val="en-US" w:eastAsia="en-US" w:bidi="ar-SA"/>
              </w:rPr>
            </w:pPr>
            <w:r>
              <w:rPr>
                <w:rFonts w:eastAsia="Times New Roman" w:cs="Arial" w:ascii="Arial" w:hAnsi="Arial"/>
                <w:color w:val="auto"/>
                <w:kern w:val="0"/>
                <w:sz w:val="24"/>
                <w:szCs w:val="24"/>
                <w:lang w:val="en-US" w:eastAsia="en-US" w:bidi="ar-SA"/>
              </w:rPr>
              <w:t>Erosion or breakdown of soil and rock</w:t>
            </w:r>
          </w:p>
        </w:tc>
      </w:tr>
    </w:tbl>
    <w:p>
      <w:pPr>
        <w:pStyle w:val="Caption1"/>
        <w:rPr/>
      </w:pPr>
      <w:r>
        <w:rPr/>
        <w:t xml:space="preserve">Table </w:t>
      </w:r>
      <w:r>
        <w:rPr/>
        <w:fldChar w:fldCharType="begin"/>
      </w:r>
      <w:r>
        <w:rPr/>
        <w:instrText xml:space="preserve"> SEQ Table \* ARABIC </w:instrText>
      </w:r>
      <w:r>
        <w:rPr/>
        <w:fldChar w:fldCharType="separate"/>
      </w:r>
      <w:r>
        <w:rPr/>
        <w:t>4</w:t>
      </w:r>
      <w:r>
        <w:rPr/>
        <w:fldChar w:fldCharType="end"/>
      </w:r>
      <w:r>
        <w:rPr/>
        <w:t>.  Detection of Contaminants with a Secondary Drinking Water Standard</w:t>
      </w:r>
    </w:p>
    <w:tbl>
      <w:tblPr>
        <w:tblStyle w:val="TableGrid"/>
        <w:tblW w:w="10836" w:type="dxa"/>
        <w:jc w:val="left"/>
        <w:tblInd w:w="63" w:type="dxa"/>
        <w:tblLayout w:type="fixed"/>
        <w:tblCellMar>
          <w:top w:w="0" w:type="dxa"/>
          <w:left w:w="58" w:type="dxa"/>
          <w:bottom w:w="0" w:type="dxa"/>
          <w:right w:w="58" w:type="dxa"/>
        </w:tblCellMar>
        <w:tblLook w:firstRow="1" w:noVBand="0" w:lastRow="0" w:firstColumn="1" w:lastColumn="0" w:noHBand="0" w:val="00a0"/>
      </w:tblPr>
      <w:tblGrid>
        <w:gridCol w:w="2245"/>
        <w:gridCol w:w="1440"/>
        <w:gridCol w:w="1353"/>
        <w:gridCol w:w="1436"/>
        <w:gridCol w:w="900"/>
        <w:gridCol w:w="1089"/>
        <w:gridCol w:w="2372"/>
      </w:tblGrid>
      <w:tr>
        <w:trPr/>
        <w:tc>
          <w:tcPr>
            <w:tcW w:w="2245" w:type="dxa"/>
            <w:tcBorders/>
            <w:vAlign w:val="center"/>
          </w:tcPr>
          <w:p>
            <w:pPr>
              <w:pStyle w:val="Normal"/>
              <w:keepNext w:val="true"/>
              <w:keepLines/>
              <w:widowControl w:val="false"/>
              <w:suppressAutoHyphens w:val="true"/>
              <w:spacing w:lineRule="exact" w:line="240" w:before="0" w:after="60"/>
              <w:jc w:val="center"/>
              <w:rPr>
                <w:rFonts w:ascii="Arial" w:hAnsi="Arial" w:cs="Arial"/>
                <w:b/>
                <w:sz w:val="24"/>
                <w:szCs w:val="24"/>
              </w:rPr>
            </w:pPr>
            <w:r>
              <w:rPr>
                <w:rFonts w:eastAsia="Times New Roman" w:cs="Arial" w:ascii="Arial" w:hAnsi="Arial"/>
                <w:b/>
                <w:kern w:val="0"/>
                <w:sz w:val="24"/>
                <w:szCs w:val="24"/>
                <w:lang w:val="en-US" w:eastAsia="en-US" w:bidi="ar-SA"/>
              </w:rPr>
              <w:t>Chemical or Constituent (and reporting units)</w:t>
            </w:r>
          </w:p>
        </w:tc>
        <w:tc>
          <w:tcPr>
            <w:tcW w:w="1440" w:type="dxa"/>
            <w:tcBorders/>
            <w:vAlign w:val="center"/>
          </w:tcPr>
          <w:p>
            <w:pPr>
              <w:pStyle w:val="Normal"/>
              <w:keepNext w:val="true"/>
              <w:keepLines/>
              <w:widowControl w:val="false"/>
              <w:suppressAutoHyphens w:val="true"/>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Sample Date</w:t>
            </w:r>
          </w:p>
        </w:tc>
        <w:tc>
          <w:tcPr>
            <w:tcW w:w="1353" w:type="dxa"/>
            <w:tcBorders/>
            <w:vAlign w:val="center"/>
          </w:tcPr>
          <w:p>
            <w:pPr>
              <w:pStyle w:val="Normal"/>
              <w:keepNext w:val="true"/>
              <w:keepLines/>
              <w:widowControl w:val="false"/>
              <w:suppressAutoHyphens w:val="true"/>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Level Detected</w:t>
            </w:r>
          </w:p>
        </w:tc>
        <w:tc>
          <w:tcPr>
            <w:tcW w:w="1436" w:type="dxa"/>
            <w:tcBorders/>
            <w:vAlign w:val="center"/>
          </w:tcPr>
          <w:p>
            <w:pPr>
              <w:pStyle w:val="Normal"/>
              <w:keepNext w:val="true"/>
              <w:keepLines/>
              <w:widowControl w:val="false"/>
              <w:suppressAutoHyphens w:val="true"/>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Range of Detections</w:t>
            </w:r>
          </w:p>
        </w:tc>
        <w:tc>
          <w:tcPr>
            <w:tcW w:w="900" w:type="dxa"/>
            <w:tcBorders/>
            <w:vAlign w:val="center"/>
          </w:tcPr>
          <w:p>
            <w:pPr>
              <w:pStyle w:val="Normal"/>
              <w:keepNext w:val="true"/>
              <w:keepLines/>
              <w:widowControl w:val="false"/>
              <w:suppressAutoHyphens w:val="true"/>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SMCL</w:t>
            </w:r>
          </w:p>
        </w:tc>
        <w:tc>
          <w:tcPr>
            <w:tcW w:w="1089" w:type="dxa"/>
            <w:tcBorders/>
            <w:vAlign w:val="center"/>
          </w:tcPr>
          <w:p>
            <w:pPr>
              <w:pStyle w:val="Normal"/>
              <w:keepNext w:val="true"/>
              <w:keepLines/>
              <w:widowControl w:val="false"/>
              <w:suppressAutoHyphens w:val="true"/>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PHG (MCLG)</w:t>
            </w:r>
          </w:p>
        </w:tc>
        <w:tc>
          <w:tcPr>
            <w:tcW w:w="2372" w:type="dxa"/>
            <w:tcBorders/>
            <w:vAlign w:val="center"/>
          </w:tcPr>
          <w:p>
            <w:pPr>
              <w:pStyle w:val="Normal"/>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Typical Source</w:t>
            </w:r>
          </w:p>
          <w:p>
            <w:pPr>
              <w:pStyle w:val="Normal"/>
              <w:widowControl w:val="false"/>
              <w:suppressAutoHyphens w:val="true"/>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of</w:t>
            </w:r>
          </w:p>
          <w:p>
            <w:pPr>
              <w:pStyle w:val="Normal"/>
              <w:widowControl w:val="false"/>
              <w:suppressAutoHyphens w:val="true"/>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Contaminant</w:t>
            </w:r>
          </w:p>
        </w:tc>
      </w:tr>
      <w:tr>
        <w:trPr>
          <w:trHeight w:val="432" w:hRule="atLeast"/>
        </w:trPr>
        <w:tc>
          <w:tcPr>
            <w:tcW w:w="2245"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Manganese</w:t>
            </w:r>
          </w:p>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(ppm)</w:t>
            </w:r>
          </w:p>
        </w:tc>
        <w:tc>
          <w:tcPr>
            <w:tcW w:w="144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01/17/23-12/19/23</w:t>
            </w:r>
          </w:p>
        </w:tc>
        <w:tc>
          <w:tcPr>
            <w:tcW w:w="1353"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.089 (05/09/23)</w:t>
            </w:r>
          </w:p>
        </w:tc>
        <w:tc>
          <w:tcPr>
            <w:tcW w:w="1436"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.019 - .089</w:t>
            </w:r>
          </w:p>
        </w:tc>
        <w:tc>
          <w:tcPr>
            <w:tcW w:w="90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0.5</w:t>
            </w:r>
          </w:p>
        </w:tc>
        <w:tc>
          <w:tcPr>
            <w:tcW w:w="1089"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2372"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Naturally occurring in soil (12</w:t>
            </w:r>
            <w:r>
              <w:rPr>
                <w:rFonts w:eastAsia="Times New Roman" w:cs="Arial" w:ascii="Arial" w:hAnsi="Arial"/>
                <w:kern w:val="0"/>
                <w:sz w:val="24"/>
                <w:szCs w:val="24"/>
                <w:vertAlign w:val="superscript"/>
                <w:lang w:val="en-US" w:eastAsia="en-US" w:bidi="ar-SA"/>
              </w:rPr>
              <w:t>th</w:t>
            </w:r>
            <w:r>
              <w:rPr>
                <w:rFonts w:eastAsia="Times New Roman" w:cs="Arial" w:ascii="Arial" w:hAnsi="Arial"/>
                <w:kern w:val="0"/>
                <w:sz w:val="24"/>
                <w:szCs w:val="24"/>
                <w:lang w:val="en-US" w:eastAsia="en-US" w:bidi="ar-SA"/>
              </w:rPr>
              <w:t xml:space="preserve"> most common element in earth’s crust)</w:t>
            </w:r>
          </w:p>
        </w:tc>
      </w:tr>
      <w:tr>
        <w:trPr>
          <w:trHeight w:val="432" w:hRule="atLeast"/>
        </w:trPr>
        <w:tc>
          <w:tcPr>
            <w:tcW w:w="2245" w:type="dxa"/>
            <w:tcBorders>
              <w:top w:val="nil"/>
            </w:tcBorders>
            <w:tcMar>
              <w:left w:w="108" w:type="dxa"/>
              <w:right w:w="108" w:type="dxa"/>
            </w:tcMar>
          </w:tcPr>
          <w:p>
            <w:pPr>
              <w:pStyle w:val="Normal"/>
              <w:widowControl w:val="false"/>
              <w:spacing w:before="40" w:after="40"/>
              <w:jc w:val="left"/>
              <w:rPr>
                <w:rFonts w:ascii="Arial" w:hAnsi="Arial" w:cs="Arial"/>
                <w:sz w:val="24"/>
                <w:szCs w:val="24"/>
              </w:rPr>
            </w:pPr>
            <w:r>
              <w:rPr>
                <w:rFonts w:eastAsia="Times New Roman" w:cs="Arial" w:ascii="Arial" w:hAnsi="Arial"/>
                <w:kern w:val="0"/>
                <w:sz w:val="24"/>
                <w:szCs w:val="24"/>
                <w:lang w:val="en-US" w:eastAsia="en-US" w:bidi="ar-SA"/>
              </w:rPr>
              <w:t>Zinc (ppm)</w:t>
            </w:r>
          </w:p>
        </w:tc>
        <w:tc>
          <w:tcPr>
            <w:tcW w:w="1440" w:type="dxa"/>
            <w:tcBorders>
              <w:top w:val="nil"/>
            </w:tcBorders>
            <w:tcMar>
              <w:left w:w="108" w:type="dxa"/>
              <w:right w:w="108" w:type="dxa"/>
            </w:tcMar>
          </w:tcPr>
          <w:p>
            <w:pPr>
              <w:pStyle w:val="Normal"/>
              <w:widowControl w:val="false"/>
              <w:suppressAutoHyphens w:val="true"/>
              <w:spacing w:before="40" w:after="40"/>
              <w:jc w:val="center"/>
              <w:rPr>
                <w:rFonts w:ascii="Arial" w:hAnsi="Arial" w:eastAsia="Times New Roman" w:cs="Arial"/>
                <w:color w:val="auto"/>
                <w:kern w:val="0"/>
                <w:sz w:val="24"/>
                <w:szCs w:val="24"/>
                <w:lang w:val="en-US" w:eastAsia="en-US" w:bidi="ar-SA"/>
              </w:rPr>
            </w:pPr>
            <w:r>
              <w:rPr>
                <w:rFonts w:eastAsia="Times New Roman" w:cs="Arial" w:ascii="Arial" w:hAnsi="Arial"/>
                <w:color w:val="auto"/>
                <w:kern w:val="0"/>
                <w:sz w:val="24"/>
                <w:szCs w:val="24"/>
                <w:lang w:val="en-US" w:eastAsia="en-US" w:bidi="ar-SA"/>
              </w:rPr>
              <w:t>11/14/23</w:t>
            </w:r>
          </w:p>
        </w:tc>
        <w:tc>
          <w:tcPr>
            <w:tcW w:w="1353" w:type="dxa"/>
            <w:tcBorders>
              <w:top w:val="nil"/>
            </w:tcBorders>
            <w:tcMar>
              <w:left w:w="108" w:type="dxa"/>
              <w:right w:w="108" w:type="dxa"/>
            </w:tcMar>
          </w:tcPr>
          <w:p>
            <w:pPr>
              <w:pStyle w:val="Normal"/>
              <w:widowControl w:val="false"/>
              <w:suppressAutoHyphens w:val="true"/>
              <w:spacing w:before="40" w:after="40"/>
              <w:jc w:val="center"/>
              <w:rPr>
                <w:rFonts w:ascii="Arial" w:hAnsi="Arial" w:eastAsia="Times New Roman" w:cs="Arial"/>
                <w:color w:val="auto"/>
                <w:kern w:val="0"/>
                <w:sz w:val="24"/>
                <w:szCs w:val="24"/>
                <w:lang w:val="en-US" w:eastAsia="en-US" w:bidi="ar-SA"/>
              </w:rPr>
            </w:pPr>
            <w:r>
              <w:rPr>
                <w:rFonts w:eastAsia="Times New Roman" w:cs="Arial" w:ascii="Arial" w:hAnsi="Arial"/>
                <w:color w:val="auto"/>
                <w:kern w:val="0"/>
                <w:sz w:val="24"/>
                <w:szCs w:val="24"/>
                <w:lang w:val="en-US" w:eastAsia="en-US" w:bidi="ar-SA"/>
              </w:rPr>
              <w:t>.015</w:t>
            </w:r>
          </w:p>
        </w:tc>
        <w:tc>
          <w:tcPr>
            <w:tcW w:w="1436" w:type="dxa"/>
            <w:tcBorders>
              <w:top w:val="nil"/>
            </w:tcBorders>
            <w:tcMar>
              <w:left w:w="108" w:type="dxa"/>
              <w:right w:w="108" w:type="dxa"/>
            </w:tcMar>
          </w:tcPr>
          <w:p>
            <w:pPr>
              <w:pStyle w:val="Normal"/>
              <w:widowControl w:val="false"/>
              <w:spacing w:before="40" w:after="40"/>
              <w:jc w:val="center"/>
              <w:rPr>
                <w:rFonts w:ascii="Arial" w:hAnsi="Arial" w:cs="Arial"/>
                <w:sz w:val="24"/>
                <w:szCs w:val="24"/>
              </w:rPr>
            </w:pPr>
            <w:r>
              <w:rPr>
                <w:rFonts w:cs="Arial" w:ascii="Arial" w:hAnsi="Arial"/>
                <w:sz w:val="24"/>
                <w:szCs w:val="24"/>
              </w:rPr>
            </w:r>
          </w:p>
        </w:tc>
        <w:tc>
          <w:tcPr>
            <w:tcW w:w="900"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t>5</w:t>
            </w:r>
          </w:p>
        </w:tc>
        <w:tc>
          <w:tcPr>
            <w:tcW w:w="1089"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t>None</w:t>
            </w:r>
          </w:p>
        </w:tc>
        <w:tc>
          <w:tcPr>
            <w:tcW w:w="2372" w:type="dxa"/>
            <w:tcBorders>
              <w:top w:val="nil"/>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t>Naturally occurring in soil, corrosion of pipes and fittings</w:t>
            </w:r>
          </w:p>
        </w:tc>
      </w:tr>
    </w:tbl>
    <w:p>
      <w:pPr>
        <w:pStyle w:val="Heading3"/>
        <w:rPr>
          <w:color w:val="auto"/>
        </w:rPr>
      </w:pPr>
      <w:r>
        <w:rPr>
          <w:color w:val="auto"/>
        </w:rPr>
      </w:r>
    </w:p>
    <w:p>
      <w:pPr>
        <w:pStyle w:val="Caption1"/>
        <w:widowControl w:val="false"/>
        <w:rPr>
          <w:color w:val="auto"/>
        </w:rPr>
      </w:pPr>
      <w:r>
        <w:rPr>
          <w:color w:val="auto"/>
        </w:rPr>
      </w:r>
    </w:p>
    <w:p>
      <w:pPr>
        <w:pStyle w:val="Heading3"/>
        <w:rPr>
          <w:color w:val="auto"/>
        </w:rPr>
      </w:pPr>
      <w:bookmarkStart w:id="8" w:name="_Toc58336719"/>
      <w:r>
        <w:rPr>
          <w:color w:val="auto"/>
        </w:rPr>
        <w:t>Additional General Information on Drinking Water</w:t>
      </w:r>
      <w:bookmarkEnd w:id="8"/>
    </w:p>
    <w:p>
      <w:pPr>
        <w:pStyle w:val="TextBody"/>
        <w:tabs>
          <w:tab w:val="clear" w:pos="720"/>
          <w:tab w:val="left" w:pos="9900" w:leader="none"/>
        </w:tabs>
        <w:spacing w:before="0" w:after="240"/>
        <w:jc w:val="left"/>
        <w:rPr>
          <w:rFonts w:ascii="Arial" w:hAnsi="Arial" w:cs="Arial"/>
          <w:sz w:val="24"/>
          <w:szCs w:val="24"/>
        </w:rPr>
      </w:pPr>
      <w:r>
        <w:rPr>
          <w:rFonts w:cs="Arial" w:ascii="Arial" w:hAnsi="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pPr>
        <w:pStyle w:val="TextBody"/>
        <w:spacing w:before="0" w:after="240"/>
        <w:jc w:val="left"/>
        <w:rPr>
          <w:rFonts w:ascii="Arial" w:hAnsi="Arial" w:cs="Arial"/>
          <w:sz w:val="24"/>
          <w:szCs w:val="24"/>
        </w:rPr>
      </w:pPr>
      <w:r>
        <w:rPr>
          <w:rFonts w:cs="Arial" w:ascii="Arial" w:hAnsi="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cs="Arial" w:ascii="Arial" w:hAnsi="Arial"/>
          <w:i/>
          <w:sz w:val="24"/>
          <w:szCs w:val="24"/>
        </w:rPr>
        <w:t>Cryptosporidium</w:t>
      </w:r>
      <w:r>
        <w:rPr>
          <w:rFonts w:cs="Arial" w:ascii="Arial" w:hAnsi="Arial"/>
          <w:sz w:val="24"/>
          <w:szCs w:val="24"/>
        </w:rPr>
        <w:t xml:space="preserve"> and other microbial contaminants are available from the Safe Drinking Water Hotline (1-800-426-4791).</w:t>
      </w:r>
    </w:p>
    <w:p>
      <w:pPr>
        <w:pStyle w:val="Normal"/>
        <w:spacing w:before="0" w:after="240"/>
        <w:rPr>
          <w:rFonts w:ascii="Arial" w:hAnsi="Arial" w:cs="Arial"/>
          <w:sz w:val="24"/>
          <w:szCs w:val="24"/>
        </w:rPr>
      </w:pPr>
      <w:r>
        <w:rPr>
          <w:rFonts w:cs="Arial" w:ascii="Arial" w:hAnsi="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cs="Arial" w:ascii="Arial" w:hAnsi="Arial"/>
          <w:bCs/>
          <w:sz w:val="24"/>
          <w:szCs w:val="24"/>
          <w:u w:val="single"/>
        </w:rPr>
        <w:t>[</w:t>
      </w:r>
      <w:r>
        <w:rPr>
          <w:rFonts w:cs="Arial" w:ascii="Arial" w:hAnsi="Arial"/>
          <w:bCs/>
          <w:sz w:val="24"/>
          <w:szCs w:val="24"/>
        </w:rPr>
        <w:t>Enter Water System’s Name</w:t>
      </w:r>
      <w:r>
        <w:rPr>
          <w:rFonts w:cs="Arial" w:ascii="Arial" w:hAnsi="Arial"/>
          <w:bCs/>
          <w:sz w:val="24"/>
          <w:szCs w:val="24"/>
          <w:u w:val="single"/>
        </w:rPr>
        <w:t>]</w:t>
      </w:r>
      <w:r>
        <w:rPr>
          <w:rFonts w:cs="Arial" w:ascii="Arial" w:hAnsi="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Pr>
          <w:rFonts w:cs="Arial" w:ascii="Arial" w:hAnsi="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2">
        <w:r>
          <w:rPr>
            <w:rStyle w:val="InternetLink"/>
            <w:rFonts w:cs="Arial" w:ascii="Arial" w:hAnsi="Arial"/>
            <w:color w:val="auto"/>
            <w:sz w:val="24"/>
            <w:szCs w:val="24"/>
          </w:rPr>
          <w:t>http://www.epa.gov/lead</w:t>
        </w:r>
      </w:hyperlink>
    </w:p>
    <w:p>
      <w:pPr>
        <w:pStyle w:val="Heading3"/>
        <w:keepNext w:val="true"/>
        <w:spacing w:before="240" w:after="240"/>
        <w:rPr>
          <w:color w:val="auto"/>
        </w:rPr>
      </w:pPr>
      <w:r>
        <w:rPr>
          <w:color w:val="auto"/>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720" w:right="720" w:gutter="0" w:header="432" w:top="864" w:footer="432" w:bottom="864"/>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Footlight MT Light">
    <w:charset w:val="00"/>
    <w:family w:val="roman"/>
    <w:pitch w:val="variable"/>
  </w:font>
  <w:font w:name="Comic Sans MS">
    <w:charset w:val="00"/>
    <w:family w:val="roman"/>
    <w:pitch w:val="variable"/>
  </w:font>
  <w:font w:name="Tahoma">
    <w:charset w:val="00"/>
    <w:family w:val="roman"/>
    <w:pitch w:val="variable"/>
  </w:font>
  <w:font w:name="Liberation Sans">
    <w:altName w:val="Arial"/>
    <w:charset w:val="00"/>
    <w:family w:val="roman"/>
    <w:pitch w:val="variable"/>
  </w:font>
  <w:font w:name="Calibri Ligh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rPr>
        <w:rFonts w:ascii="Arial" w:hAnsi="Arial" w:cs="Arial"/>
        <w:sz w:val="24"/>
        <w:szCs w:val="24"/>
      </w:rPr>
    </w:pPr>
    <w:r>
      <w:rPr>
        <w:rFonts w:cs="Arial" w:ascii="Arial" w:hAnsi="Arial"/>
        <w:sz w:val="24"/>
        <w:szCs w:val="24"/>
      </w:rPr>
      <w:t>SWS CCR</w:t>
      <w:tab/>
      <w:t>Revised January 2024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rPr>
        <w:rFonts w:ascii="Arial" w:hAnsi="Arial" w:cs="Arial"/>
        <w:sz w:val="24"/>
        <w:szCs w:val="24"/>
      </w:rPr>
    </w:pPr>
    <w:r>
      <w:rPr>
        <w:rFonts w:cs="Arial" w:ascii="Arial" w:hAnsi="Arial"/>
        <w:sz w:val="24"/>
        <w:szCs w:val="24"/>
      </w:rPr>
      <w:t>SWS CCR</w:t>
      <w:tab/>
      <w:t>Revised January 2024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spacing w:before="0" w:after="480"/>
      <w:rPr/>
    </w:pPr>
    <w:r>
      <w:rPr>
        <w:rFonts w:cs="Arial" w:ascii="Arial" w:hAnsi="Arial"/>
        <w:sz w:val="24"/>
        <w:szCs w:val="24"/>
      </w:rPr>
      <w:t>Consumer Confidence Report</w:t>
      <w:tab/>
      <w:t xml:space="preserve">Page </w:t>
    </w:r>
    <w:r>
      <w:rPr>
        <w:rStyle w:val="Pagenumber"/>
        <w:rFonts w:cs="Arial" w:ascii="Arial" w:hAnsi="Arial"/>
        <w:sz w:val="24"/>
        <w:szCs w:val="24"/>
      </w:rPr>
      <w:fldChar w:fldCharType="begin"/>
    </w:r>
    <w:r>
      <w:rPr>
        <w:rStyle w:val="Pagenumber"/>
        <w:sz w:val="24"/>
        <w:szCs w:val="24"/>
        <w:rFonts w:cs="Arial" w:ascii="Arial" w:hAnsi="Arial"/>
      </w:rPr>
      <w:instrText xml:space="preserve"> PAGE </w:instrText>
    </w:r>
    <w:r>
      <w:rPr>
        <w:rStyle w:val="Pagenumber"/>
        <w:sz w:val="24"/>
        <w:szCs w:val="24"/>
        <w:rFonts w:cs="Arial" w:ascii="Arial" w:hAnsi="Arial"/>
      </w:rPr>
      <w:fldChar w:fldCharType="separate"/>
    </w:r>
    <w:r>
      <w:rPr>
        <w:rStyle w:val="Pagenumber"/>
        <w:sz w:val="24"/>
        <w:szCs w:val="24"/>
        <w:rFonts w:cs="Arial" w:ascii="Arial" w:hAnsi="Arial"/>
      </w:rPr>
      <w:t>6</w:t>
    </w:r>
    <w:r>
      <w:rPr>
        <w:rStyle w:val="Pagenumber"/>
        <w:sz w:val="24"/>
        <w:szCs w:val="24"/>
        <w:rFonts w:cs="Arial" w:ascii="Arial" w:hAnsi="Arial"/>
      </w:rPr>
      <w:fldChar w:fldCharType="end"/>
    </w:r>
    <w:r>
      <w:rPr>
        <w:rStyle w:val="Pagenumber"/>
        <w:rFonts w:cs="Arial" w:ascii="Arial" w:hAnsi="Arial"/>
        <w:sz w:val="24"/>
        <w:szCs w:val="24"/>
      </w:rPr>
      <w:t xml:space="preserve"> of </w:t>
    </w:r>
    <w:r>
      <w:rPr>
        <w:rStyle w:val="Pagenumber"/>
        <w:rFonts w:cs="Arial" w:ascii="Arial" w:hAnsi="Arial"/>
        <w:sz w:val="24"/>
        <w:szCs w:val="24"/>
      </w:rPr>
      <w:fldChar w:fldCharType="begin"/>
    </w:r>
    <w:r>
      <w:rPr>
        <w:rStyle w:val="Pagenumber"/>
        <w:sz w:val="24"/>
        <w:szCs w:val="24"/>
        <w:rFonts w:cs="Arial" w:ascii="Arial" w:hAnsi="Arial"/>
      </w:rPr>
      <w:instrText xml:space="preserve"> NUMPAGES </w:instrText>
    </w:r>
    <w:r>
      <w:rPr>
        <w:rStyle w:val="Pagenumber"/>
        <w:sz w:val="24"/>
        <w:szCs w:val="24"/>
        <w:rFonts w:cs="Arial" w:ascii="Arial" w:hAnsi="Arial"/>
      </w:rPr>
      <w:fldChar w:fldCharType="separate"/>
    </w:r>
    <w:r>
      <w:rPr>
        <w:rStyle w:val="Pagenumber"/>
        <w:sz w:val="24"/>
        <w:szCs w:val="24"/>
        <w:rFonts w:cs="Arial" w:ascii="Arial" w:hAnsi="Arial"/>
      </w:rPr>
      <w:t>6</w:t>
    </w:r>
    <w:r>
      <w:rPr>
        <w:rStyle w:val="Pagenumber"/>
        <w:sz w:val="24"/>
        <w:szCs w:val="24"/>
        <w:rFonts w:cs="Arial" w:ascii="Arial" w:hAnsi="Arial"/>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spacing w:before="0" w:after="480"/>
      <w:rPr/>
    </w:pPr>
    <w:r>
      <w:rPr>
        <w:rFonts w:cs="Arial" w:ascii="Arial" w:hAnsi="Arial"/>
        <w:sz w:val="24"/>
        <w:szCs w:val="24"/>
      </w:rPr>
      <w:t>Consumer Confidence Report</w:t>
      <w:tab/>
      <w:t xml:space="preserve">Page </w:t>
    </w:r>
    <w:r>
      <w:rPr>
        <w:rStyle w:val="Pagenumber"/>
        <w:rFonts w:cs="Arial" w:ascii="Arial" w:hAnsi="Arial"/>
        <w:sz w:val="24"/>
        <w:szCs w:val="24"/>
      </w:rPr>
      <w:fldChar w:fldCharType="begin"/>
    </w:r>
    <w:r>
      <w:rPr>
        <w:rStyle w:val="Pagenumber"/>
        <w:sz w:val="24"/>
        <w:szCs w:val="24"/>
        <w:rFonts w:cs="Arial" w:ascii="Arial" w:hAnsi="Arial"/>
      </w:rPr>
      <w:instrText xml:space="preserve"> PAGE </w:instrText>
    </w:r>
    <w:r>
      <w:rPr>
        <w:rStyle w:val="Pagenumber"/>
        <w:sz w:val="24"/>
        <w:szCs w:val="24"/>
        <w:rFonts w:cs="Arial" w:ascii="Arial" w:hAnsi="Arial"/>
      </w:rPr>
      <w:fldChar w:fldCharType="separate"/>
    </w:r>
    <w:r>
      <w:rPr>
        <w:rStyle w:val="Pagenumber"/>
        <w:sz w:val="24"/>
        <w:szCs w:val="24"/>
        <w:rFonts w:cs="Arial" w:ascii="Arial" w:hAnsi="Arial"/>
      </w:rPr>
      <w:t>6</w:t>
    </w:r>
    <w:r>
      <w:rPr>
        <w:rStyle w:val="Pagenumber"/>
        <w:sz w:val="24"/>
        <w:szCs w:val="24"/>
        <w:rFonts w:cs="Arial" w:ascii="Arial" w:hAnsi="Arial"/>
      </w:rPr>
      <w:fldChar w:fldCharType="end"/>
    </w:r>
    <w:r>
      <w:rPr>
        <w:rStyle w:val="Pagenumber"/>
        <w:rFonts w:cs="Arial" w:ascii="Arial" w:hAnsi="Arial"/>
        <w:sz w:val="24"/>
        <w:szCs w:val="24"/>
      </w:rPr>
      <w:t xml:space="preserve"> of </w:t>
    </w:r>
    <w:r>
      <w:rPr>
        <w:rStyle w:val="Pagenumber"/>
        <w:rFonts w:cs="Arial" w:ascii="Arial" w:hAnsi="Arial"/>
        <w:sz w:val="24"/>
        <w:szCs w:val="24"/>
      </w:rPr>
      <w:fldChar w:fldCharType="begin"/>
    </w:r>
    <w:r>
      <w:rPr>
        <w:rStyle w:val="Pagenumber"/>
        <w:sz w:val="24"/>
        <w:szCs w:val="24"/>
        <w:rFonts w:cs="Arial" w:ascii="Arial" w:hAnsi="Arial"/>
      </w:rPr>
      <w:instrText xml:space="preserve"> NUMPAGES </w:instrText>
    </w:r>
    <w:r>
      <w:rPr>
        <w:rStyle w:val="Pagenumber"/>
        <w:sz w:val="24"/>
        <w:szCs w:val="24"/>
        <w:rFonts w:cs="Arial" w:ascii="Arial" w:hAnsi="Arial"/>
      </w:rPr>
      <w:fldChar w:fldCharType="separate"/>
    </w:r>
    <w:r>
      <w:rPr>
        <w:rStyle w:val="Pagenumber"/>
        <w:sz w:val="24"/>
        <w:szCs w:val="24"/>
        <w:rFonts w:cs="Arial" w:ascii="Arial" w:hAnsi="Arial"/>
      </w:rPr>
      <w:t>6</w:t>
    </w:r>
    <w:r>
      <w:rPr>
        <w:rStyle w:val="Pagenumber"/>
        <w:sz w:val="24"/>
        <w:szCs w:val="24"/>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Heading2"/>
    <w:next w:val="Normal"/>
    <w:qFormat/>
    <w:rsid w:val="00bf628d"/>
    <w:pPr>
      <w:spacing w:before="240" w:after="0"/>
      <w:outlineLvl w:val="0"/>
    </w:pPr>
    <w:rPr>
      <w:sz w:val="32"/>
      <w:szCs w:val="32"/>
    </w:rPr>
  </w:style>
  <w:style w:type="paragraph" w:styleId="Heading2">
    <w:name w:val="Heading 2"/>
    <w:basedOn w:val="Normal"/>
    <w:next w:val="Normal"/>
    <w:qFormat/>
    <w:rsid w:val="00bf628d"/>
    <w:pPr>
      <w:keepNext w:val="true"/>
      <w:spacing w:before="360" w:after="240"/>
      <w:outlineLvl w:val="1"/>
    </w:pPr>
    <w:rPr>
      <w:rFonts w:ascii="Arial" w:hAnsi="Arial" w:cs="Arial"/>
      <w:b/>
      <w:bCs/>
      <w:sz w:val="28"/>
      <w:szCs w:val="24"/>
    </w:rPr>
  </w:style>
  <w:style w:type="paragraph" w:styleId="Heading3">
    <w:name w:val="Heading 3"/>
    <w:basedOn w:val="Caption1"/>
    <w:next w:val="Normal"/>
    <w:qFormat/>
    <w:rsid w:val="00bf628d"/>
    <w:pPr>
      <w:keepNext w:val="false"/>
      <w:spacing w:before="240" w:after="240"/>
      <w:outlineLvl w:val="2"/>
    </w:pPr>
    <w:rPr>
      <w:bCs/>
      <w:color w:val="0000FF"/>
    </w:rPr>
  </w:style>
  <w:style w:type="paragraph" w:styleId="Heading4">
    <w:name w:val="Heading 4"/>
    <w:basedOn w:val="Heading3"/>
    <w:next w:val="Normal"/>
    <w:qFormat/>
    <w:rsid w:val="00bf628d"/>
    <w:pPr>
      <w:keepNext w:val="true"/>
      <w:keepLines/>
      <w:spacing w:before="0" w:after="240"/>
      <w:outlineLvl w:val="3"/>
    </w:pPr>
    <w:rPr>
      <w:iCs/>
      <w:color w:val="000000" w:themeColor="text1"/>
    </w:rPr>
  </w:style>
  <w:style w:type="paragraph" w:styleId="Heading5">
    <w:name w:val="Heading 5"/>
    <w:basedOn w:val="Normal"/>
    <w:next w:val="Normal"/>
    <w:qFormat/>
    <w:pPr>
      <w:keepNext w:val="true"/>
      <w:jc w:val="center"/>
      <w:outlineLvl w:val="4"/>
    </w:pPr>
    <w:rPr>
      <w:rFonts w:ascii="Footlight MT Light" w:hAnsi="Footlight MT Light"/>
      <w:b/>
      <w:sz w:val="22"/>
    </w:rPr>
  </w:style>
  <w:style w:type="paragraph" w:styleId="Heading6">
    <w:name w:val="Heading 6"/>
    <w:basedOn w:val="Normal"/>
    <w:next w:val="Normal"/>
    <w:qFormat/>
    <w:pPr>
      <w:keepNext w:val="true"/>
      <w:jc w:val="right"/>
      <w:outlineLvl w:val="5"/>
    </w:pPr>
    <w:rPr>
      <w:rFonts w:ascii="Footlight MT Light" w:hAnsi="Footlight MT Light"/>
      <w:sz w:val="24"/>
    </w:rPr>
  </w:style>
  <w:style w:type="paragraph" w:styleId="Heading7">
    <w:name w:val="Heading 7"/>
    <w:basedOn w:val="Normal"/>
    <w:next w:val="Normal"/>
    <w:qFormat/>
    <w:pPr>
      <w:keepNext w:val="true"/>
      <w:spacing w:lineRule="exact" w:line="200"/>
      <w:jc w:val="center"/>
      <w:outlineLvl w:val="6"/>
    </w:pPr>
    <w:rPr>
      <w:rFonts w:ascii="Comic Sans MS" w:hAnsi="Comic Sans MS"/>
      <w:b/>
      <w:bCs/>
      <w:sz w:val="18"/>
    </w:rPr>
  </w:style>
  <w:style w:type="paragraph" w:styleId="Heading8">
    <w:name w:val="Heading 8"/>
    <w:basedOn w:val="Normal"/>
    <w:next w:val="Normal"/>
    <w:qFormat/>
    <w:pPr>
      <w:keepNext w:val="true"/>
      <w:spacing w:lineRule="exact" w:line="200"/>
      <w:outlineLvl w:val="7"/>
    </w:pPr>
    <w:rPr>
      <w:rFonts w:ascii="Comic Sans MS" w:hAnsi="Comic Sans MS"/>
      <w:b/>
      <w:bCs/>
      <w:sz w:val="18"/>
    </w:rPr>
  </w:style>
  <w:style w:type="paragraph" w:styleId="Heading9">
    <w:name w:val="Heading 9"/>
    <w:basedOn w:val="Normal"/>
    <w:next w:val="Normal"/>
    <w:qFormat/>
    <w:pPr>
      <w:keepNext w:val="true"/>
      <w:spacing w:lineRule="exact" w:line="220" w:before="40" w:after="40"/>
      <w:ind w:left="-108" w:right="-90" w:hanging="0"/>
      <w:jc w:val="center"/>
      <w:outlineLvl w:val="8"/>
    </w:pPr>
    <w:rPr>
      <w:b/>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Link">
    <w:name w:val="Hyperlink"/>
    <w:uiPriority w:val="99"/>
    <w:rsid w:val="00fc34f6"/>
    <w:rPr>
      <w:color w:val="0000FF"/>
      <w:u w:val="single"/>
    </w:rPr>
  </w:style>
  <w:style w:type="character" w:styleId="BalloonTextChar" w:customStyle="1">
    <w:name w:val="Balloon Text Char"/>
    <w:link w:val="BalloonText"/>
    <w:qFormat/>
    <w:rsid w:val="00737455"/>
    <w:rPr>
      <w:rFonts w:ascii="Tahoma" w:hAnsi="Tahoma" w:cs="Tahoma"/>
      <w:sz w:val="16"/>
      <w:szCs w:val="16"/>
    </w:rPr>
  </w:style>
  <w:style w:type="character" w:styleId="VisitedInternetLink">
    <w:name w:val="FollowedHyperlink"/>
    <w:rsid w:val="00f07ac1"/>
    <w:rPr>
      <w:color w:val="800080"/>
      <w:u w:val="single"/>
    </w:rPr>
  </w:style>
  <w:style w:type="character" w:styleId="Annotationreference">
    <w:name w:val="annotation reference"/>
    <w:qFormat/>
    <w:rsid w:val="00473411"/>
    <w:rPr>
      <w:sz w:val="16"/>
      <w:szCs w:val="16"/>
    </w:rPr>
  </w:style>
  <w:style w:type="character" w:styleId="CommentTextChar" w:customStyle="1">
    <w:name w:val="Comment Text Char"/>
    <w:basedOn w:val="DefaultParagraphFont"/>
    <w:link w:val="Annotationtext"/>
    <w:qFormat/>
    <w:rsid w:val="00473411"/>
    <w:rPr/>
  </w:style>
  <w:style w:type="character" w:styleId="CommentSubjectChar" w:customStyle="1">
    <w:name w:val="Comment Subject Char"/>
    <w:link w:val="Annotationsubject"/>
    <w:qFormat/>
    <w:rsid w:val="00473411"/>
    <w:rPr>
      <w:b/>
      <w:bCs/>
    </w:rPr>
  </w:style>
  <w:style w:type="character" w:styleId="FootnoteTextChar" w:customStyle="1">
    <w:name w:val="Footnote Text Char"/>
    <w:link w:val="Footnote"/>
    <w:qFormat/>
    <w:rsid w:val="00dd7d18"/>
    <w:rPr>
      <w:sz w:val="24"/>
    </w:rPr>
  </w:style>
  <w:style w:type="character" w:styleId="FootnoteCharacters">
    <w:name w:val="Footnote Characters"/>
    <w:qFormat/>
    <w:rsid w:val="00dd7d18"/>
    <w:rPr>
      <w:vertAlign w:val="superscript"/>
    </w:rPr>
  </w:style>
  <w:style w:type="character" w:styleId="FootnoteAnchor">
    <w:name w:val="Footnote Reference"/>
    <w:rPr>
      <w:vertAlign w:val="superscript"/>
    </w:rPr>
  </w:style>
  <w:style w:type="character" w:styleId="FooterChar" w:customStyle="1">
    <w:name w:val="Footer Char"/>
    <w:basedOn w:val="DefaultParagraphFont"/>
    <w:link w:val="Footer"/>
    <w:uiPriority w:val="99"/>
    <w:qFormat/>
    <w:rsid w:val="00e870eb"/>
    <w:rPr/>
  </w:style>
  <w:style w:type="character" w:styleId="HeaderChar" w:customStyle="1">
    <w:name w:val="Header Char"/>
    <w:basedOn w:val="DefaultParagraphFont"/>
    <w:link w:val="Header"/>
    <w:uiPriority w:val="99"/>
    <w:qFormat/>
    <w:rsid w:val="004562e8"/>
    <w:rPr/>
  </w:style>
  <w:style w:type="character" w:styleId="EndnoteTextChar" w:customStyle="1">
    <w:name w:val="Endnote Text Char"/>
    <w:basedOn w:val="DefaultParagraphFont"/>
    <w:link w:val="Endnote"/>
    <w:qFormat/>
    <w:rsid w:val="00d62607"/>
    <w:rPr/>
  </w:style>
  <w:style w:type="character" w:styleId="EndnoteCharacters">
    <w:name w:val="Endnote Characters"/>
    <w:qFormat/>
    <w:rsid w:val="00d62607"/>
    <w:rPr>
      <w:vertAlign w:val="superscript"/>
    </w:rPr>
  </w:style>
  <w:style w:type="character" w:styleId="EndnoteAnchor">
    <w:name w:val="Endnote Reference"/>
    <w:rPr>
      <w:vertAlign w:val="superscript"/>
    </w:rPr>
  </w:style>
  <w:style w:type="character" w:styleId="UnresolvedMention">
    <w:name w:val="Unresolved Mention"/>
    <w:basedOn w:val="DefaultParagraphFont"/>
    <w:uiPriority w:val="99"/>
    <w:semiHidden/>
    <w:unhideWhenUsed/>
    <w:qFormat/>
    <w:rsid w:val="005f7f5b"/>
    <w:rPr>
      <w:color w:val="605E5C"/>
      <w:shd w:fill="E1DFDD" w:val="clear"/>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qFormat/>
    <w:rsid w:val="0025569c"/>
    <w:rPr>
      <w:rFonts w:ascii="Footlight MT Light" w:hAnsi="Footlight MT Light"/>
      <w:sz w:val="2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pPr>
      <w:spacing w:before="120" w:after="0"/>
      <w:jc w:val="both"/>
    </w:pPr>
    <w:rPr>
      <w:rFonts w:ascii="Footlight MT Light" w:hAnsi="Footlight MT Light"/>
      <w:sz w:val="22"/>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pPr>
      <w:tabs>
        <w:tab w:val="clear" w:pos="720"/>
        <w:tab w:val="center" w:pos="4320" w:leader="none"/>
        <w:tab w:val="right" w:pos="8640" w:leader="none"/>
      </w:tabs>
    </w:pPr>
    <w:rPr/>
  </w:style>
  <w:style w:type="paragraph" w:styleId="Footer">
    <w:name w:val="Footer"/>
    <w:basedOn w:val="Normal"/>
    <w:link w:val="FooterChar"/>
    <w:uiPriority w:val="99"/>
    <w:pPr>
      <w:tabs>
        <w:tab w:val="clear" w:pos="720"/>
        <w:tab w:val="center" w:pos="4320" w:leader="none"/>
        <w:tab w:val="right" w:pos="8640" w:leader="none"/>
      </w:tabs>
    </w:pPr>
    <w:rPr/>
  </w:style>
  <w:style w:type="paragraph" w:styleId="Caption1">
    <w:name w:val="caption"/>
    <w:basedOn w:val="Normal"/>
    <w:next w:val="Normal"/>
    <w:qFormat/>
    <w:rsid w:val="00070c22"/>
    <w:pPr>
      <w:keepNext w:val="true"/>
      <w:spacing w:before="360" w:after="120"/>
    </w:pPr>
    <w:rPr>
      <w:rFonts w:ascii="Arial" w:hAnsi="Arial" w:cs="Arial"/>
      <w:b/>
      <w:sz w:val="24"/>
      <w:szCs w:val="24"/>
    </w:rPr>
  </w:style>
  <w:style w:type="paragraph" w:styleId="Title">
    <w:name w:val="Title"/>
    <w:basedOn w:val="Normal"/>
    <w:qFormat/>
    <w:pPr>
      <w:spacing w:before="0" w:after="120"/>
      <w:jc w:val="center"/>
    </w:pPr>
    <w:rPr>
      <w:b/>
      <w:u w:val="single"/>
    </w:rPr>
  </w:style>
  <w:style w:type="paragraph" w:styleId="BodyText2">
    <w:name w:val="Body Text 2"/>
    <w:basedOn w:val="Normal"/>
    <w:qFormat/>
    <w:pPr>
      <w:spacing w:before="0" w:after="120"/>
    </w:pPr>
    <w:rPr>
      <w:rFonts w:ascii="Footlight MT Light" w:hAnsi="Footlight MT Light"/>
      <w:sz w:val="22"/>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both"/>
    </w:pPr>
    <w:rPr>
      <w:sz w:val="24"/>
    </w:rPr>
  </w:style>
  <w:style w:type="paragraph" w:styleId="Subtitle">
    <w:name w:val="Subtitle"/>
    <w:basedOn w:val="Normal"/>
    <w:qFormat/>
    <w:pPr>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i/>
      <w:color w:val="FF0000"/>
    </w:rPr>
  </w:style>
  <w:style w:type="paragraph" w:styleId="BodyTextIndent2">
    <w:name w:val="Body Text Indent 2"/>
    <w:basedOn w:val="Normal"/>
    <w:qFormat/>
    <w:pPr>
      <w:ind w:firstLine="720"/>
    </w:pPr>
    <w:rPr>
      <w:u w:val="single"/>
    </w:rPr>
  </w:style>
  <w:style w:type="paragraph" w:styleId="BodyTextIndent3">
    <w:name w:val="Body Text Indent 3"/>
    <w:basedOn w:val="Normal"/>
    <w:qFormat/>
    <w:pPr>
      <w:ind w:left="360" w:hanging="360"/>
    </w:pPr>
    <w:rPr>
      <w:u w:val="single"/>
    </w:rPr>
  </w:style>
  <w:style w:type="paragraph" w:styleId="BlockText">
    <w:name w:val="Block Text"/>
    <w:basedOn w:val="Normal"/>
    <w:qFormat/>
    <w:pPr>
      <w:ind w:left="810" w:right="1350" w:hanging="180"/>
    </w:pPr>
    <w:rPr>
      <w:rFonts w:ascii="Comic Sans MS" w:hAnsi="Comic Sans MS"/>
      <w:b/>
      <w:sz w:val="18"/>
    </w:rPr>
  </w:style>
  <w:style w:type="paragraph" w:styleId="BalloonText">
    <w:name w:val="Balloon Text"/>
    <w:basedOn w:val="Normal"/>
    <w:link w:val="BalloonTextChar"/>
    <w:qFormat/>
    <w:rsid w:val="00737455"/>
    <w:pPr/>
    <w:rPr>
      <w:rFonts w:ascii="Tahoma" w:hAnsi="Tahoma" w:cs="Tahoma"/>
      <w:sz w:val="16"/>
      <w:szCs w:val="16"/>
    </w:rPr>
  </w:style>
  <w:style w:type="paragraph" w:styleId="Annotationtext">
    <w:name w:val="annotation text"/>
    <w:basedOn w:val="Normal"/>
    <w:link w:val="CommentTextChar"/>
    <w:qFormat/>
    <w:rsid w:val="00473411"/>
    <w:pPr/>
    <w:rPr/>
  </w:style>
  <w:style w:type="paragraph" w:styleId="Annotationsubject">
    <w:name w:val="annotation subject"/>
    <w:basedOn w:val="Annotationtext"/>
    <w:next w:val="Annotationtext"/>
    <w:link w:val="CommentSubjectChar"/>
    <w:qFormat/>
    <w:rsid w:val="00473411"/>
    <w:pPr/>
    <w:rPr>
      <w:b/>
      <w:bCs/>
    </w:rPr>
  </w:style>
  <w:style w:type="paragraph" w:styleId="Footnote">
    <w:name w:val="Footnote Text"/>
    <w:basedOn w:val="Normal"/>
    <w:link w:val="FootnoteTextChar"/>
    <w:rsid w:val="00dd7d18"/>
    <w:pPr>
      <w:spacing w:before="0" w:after="240"/>
      <w:jc w:val="both"/>
    </w:pPr>
    <w:rPr>
      <w:sz w:val="24"/>
    </w:rPr>
  </w:style>
  <w:style w:type="paragraph" w:styleId="ListParagraph">
    <w:name w:val="List Paragraph"/>
    <w:basedOn w:val="Normal"/>
    <w:uiPriority w:val="34"/>
    <w:qFormat/>
    <w:rsid w:val="00e870eb"/>
    <w:pPr>
      <w:numPr>
        <w:ilvl w:val="0"/>
        <w:numId w:val="1"/>
      </w:numPr>
      <w:spacing w:before="0" w:after="120"/>
    </w:pPr>
    <w:rPr>
      <w:rFonts w:ascii="Arial" w:hAnsi="Arial" w:cs="Arial"/>
      <w:bCs/>
      <w:sz w:val="24"/>
      <w:szCs w:val="24"/>
    </w:rPr>
  </w:style>
  <w:style w:type="paragraph" w:styleId="Endnote">
    <w:name w:val="Endnote Text"/>
    <w:basedOn w:val="Normal"/>
    <w:link w:val="EndnoteTextChar"/>
    <w:rsid w:val="00d62607"/>
    <w:pPr/>
    <w:rPr/>
  </w:style>
  <w:style w:type="paragraph" w:styleId="IndexHeading">
    <w:name w:val="Index Heading"/>
    <w:basedOn w:val="Heading"/>
    <w:pPr/>
    <w:rPr/>
  </w:style>
  <w:style w:type="paragraph" w:styleId="ContentsHeading">
    <w:name w:val="TOC Heading"/>
    <w:basedOn w:val="Heading1"/>
    <w:next w:val="Normal"/>
    <w:uiPriority w:val="39"/>
    <w:unhideWhenUsed/>
    <w:qFormat/>
    <w:rsid w:val="007b2bc6"/>
    <w:pPr>
      <w:keepLines/>
      <w:spacing w:lineRule="auto" w:line="259" w:before="240" w:after="0"/>
      <w:outlineLvl w:val="9"/>
    </w:pPr>
    <w:rPr>
      <w:rFonts w:ascii="Calibri Light" w:hAnsi="Calibri Light" w:eastAsia="" w:cs="" w:asciiTheme="majorHAnsi" w:cstheme="majorBidi" w:eastAsiaTheme="majorEastAsia" w:hAnsiTheme="majorHAnsi"/>
      <w:b w:val="false"/>
      <w:bCs w:val="false"/>
      <w:color w:val="2F5496" w:themeColor="accent1" w:themeShade="bf"/>
    </w:rPr>
  </w:style>
  <w:style w:type="paragraph" w:styleId="Contents1">
    <w:name w:val="TOC 1"/>
    <w:basedOn w:val="Normal"/>
    <w:next w:val="Normal"/>
    <w:autoRedefine/>
    <w:uiPriority w:val="39"/>
    <w:rsid w:val="007b2bc6"/>
    <w:pPr>
      <w:spacing w:before="0" w:after="100"/>
    </w:pPr>
    <w:rPr/>
  </w:style>
  <w:style w:type="paragraph" w:styleId="Contents2">
    <w:name w:val="TOC 2"/>
    <w:basedOn w:val="Normal"/>
    <w:next w:val="Normal"/>
    <w:autoRedefine/>
    <w:uiPriority w:val="39"/>
    <w:rsid w:val="007b2bc6"/>
    <w:pPr>
      <w:spacing w:before="0" w:after="100"/>
      <w:ind w:left="200" w:hanging="0"/>
    </w:pPr>
    <w:rPr/>
  </w:style>
  <w:style w:type="paragraph" w:styleId="Contents3">
    <w:name w:val="TOC 3"/>
    <w:basedOn w:val="Normal"/>
    <w:next w:val="Normal"/>
    <w:autoRedefine/>
    <w:uiPriority w:val="39"/>
    <w:rsid w:val="007b2bc6"/>
    <w:pPr>
      <w:spacing w:before="0" w:after="100"/>
      <w:ind w:left="400"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pa.gov/lead"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4521</TotalTime>
  <Application>LibreOffice/7.5.6.2$Windows_X86_64 LibreOffice_project/f654817fb68d6d4600d7d2f6b647e47729f55f15</Application>
  <AppVersion>15.0000</AppVersion>
  <Pages>6</Pages>
  <Words>1697</Words>
  <Characters>9291</Characters>
  <CharactersWithSpaces>10832</CharactersWithSpaces>
  <Paragraphs>185</Paragraphs>
  <Company>SWRCB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2022-01-19T19:02:00Z</dcterms:created>
  <dc:creator>SWB - Regulatory Development Unit</dc:creator>
  <dc:description/>
  <cp:keywords>Consumer Confidence Report Small Water System Template</cp:keywords>
  <dc:language>en-US</dc:language>
  <cp:lastModifiedBy/>
  <cp:lastPrinted>2022-01-19T18:53:00Z</cp:lastPrinted>
  <dcterms:modified xsi:type="dcterms:W3CDTF">2024-05-22T08:43:08Z</dcterms:modified>
  <cp:revision>15</cp:revision>
  <dc:subject>CCR</dc:subject>
  <dc:title>CCR SWS Template - English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