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772E40">
        <w:rPr>
          <w:sz w:val="32"/>
          <w:u w:val="none"/>
        </w:rPr>
        <w:t>9</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67480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Liesure Acres Mutual Water Co</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67480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6/28/2020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w:t>
      </w:r>
      <w:bookmarkStart w:id="0" w:name="_GoBack"/>
      <w:bookmarkEnd w:id="0"/>
      <w:r w:rsidRPr="00412B2F">
        <w:rPr>
          <w:i/>
          <w:sz w:val="21"/>
          <w:szCs w:val="21"/>
        </w:rPr>
        <w:t xml:space="preserve">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EnterWaterSystem’sName Here</w:t>
      </w:r>
      <w:r w:rsidRPr="00442D66">
        <w:rPr>
          <w:b/>
          <w:bCs/>
          <w:sz w:val="21"/>
          <w:szCs w:val="21"/>
          <w:lang w:val="es-MX"/>
        </w:rPr>
        <w:t>] a [</w:t>
      </w:r>
      <w:r w:rsidRPr="00710939">
        <w:rPr>
          <w:b/>
          <w:bCs/>
          <w:i/>
          <w:sz w:val="21"/>
          <w:szCs w:val="21"/>
          <w:u w:val="single"/>
          <w:lang w:val="es-MX"/>
        </w:rPr>
        <w:t>EnterWaterSystem’sAddressorPhoneNumber Here</w:t>
      </w:r>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EnterWaterSystem’sNameHere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EnterWaterSystem’sAddress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EnterWaterSystem’sPhoneNumber Here</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pag-uulatnaito ay naglalaman ng mahalagangimpormasyontungkolsainyonginumingtubig.  Mangyaringmakipag-ugnayansa [</w:t>
      </w:r>
      <w:r w:rsidRPr="00710939">
        <w:rPr>
          <w:b/>
          <w:bCs/>
          <w:i/>
          <w:sz w:val="21"/>
          <w:szCs w:val="21"/>
          <w:u w:val="single"/>
          <w:lang w:val="es-ES"/>
        </w:rPr>
        <w:t>EnterWaterSystem’sName and Address Here</w:t>
      </w:r>
      <w:r w:rsidRPr="008A64D8">
        <w:rPr>
          <w:b/>
          <w:bCs/>
          <w:sz w:val="21"/>
          <w:szCs w:val="21"/>
          <w:lang w:val="es-ES"/>
        </w:rPr>
        <w:t>] o tumawagsa [</w:t>
      </w:r>
      <w:r w:rsidRPr="00710939">
        <w:rPr>
          <w:b/>
          <w:bCs/>
          <w:i/>
          <w:sz w:val="21"/>
          <w:szCs w:val="21"/>
          <w:u w:val="single"/>
          <w:lang w:val="es-ES"/>
        </w:rPr>
        <w:t>EnterWaterSystem’sPhoneNumber Here</w:t>
      </w:r>
      <w:r w:rsidRPr="008A64D8">
        <w:rPr>
          <w:b/>
          <w:bCs/>
          <w:sz w:val="21"/>
          <w:szCs w:val="21"/>
          <w:lang w:val="es-ES"/>
        </w:rPr>
        <w:t>] para matulungansawikangTagalog</w:t>
      </w:r>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Báocáonàychứathôngtinquantrọngvềnướcuốngcủabạn.  Xin vuilòngliênhệ [</w:t>
      </w:r>
      <w:r w:rsidR="00710939" w:rsidRPr="00710939">
        <w:rPr>
          <w:rFonts w:eastAsia="PMingLiU"/>
          <w:b/>
          <w:bCs/>
          <w:i/>
          <w:sz w:val="21"/>
          <w:szCs w:val="21"/>
          <w:u w:val="single"/>
          <w:lang w:val="es-ES"/>
        </w:rPr>
        <w:t>EnterWaterSystem’sName Here</w:t>
      </w:r>
      <w:r w:rsidRPr="00412B2F">
        <w:rPr>
          <w:b/>
          <w:bCs/>
          <w:sz w:val="21"/>
          <w:szCs w:val="21"/>
          <w:lang w:val="es-ES"/>
        </w:rPr>
        <w:t>] tại [</w:t>
      </w:r>
      <w:r w:rsidR="00710939" w:rsidRPr="00710939">
        <w:rPr>
          <w:b/>
          <w:bCs/>
          <w:i/>
          <w:sz w:val="21"/>
          <w:szCs w:val="21"/>
          <w:u w:val="single"/>
          <w:lang w:val="es-MX"/>
        </w:rPr>
        <w:t>EnterWaterSystem’sAddressorPhoneNumber Here</w:t>
      </w:r>
      <w:r w:rsidRPr="00412B2F">
        <w:rPr>
          <w:b/>
          <w:bCs/>
          <w:sz w:val="21"/>
          <w:szCs w:val="21"/>
          <w:lang w:val="es-ES"/>
        </w:rPr>
        <w:t>] đểđượchỗtrợgiúpbằngtiếngViệt.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Tsabntawv no muajcovntsiablustseemceebtxogkojcovdejhaus.  Thovhurau [</w:t>
      </w:r>
      <w:r w:rsidR="00710939" w:rsidRPr="00710939">
        <w:rPr>
          <w:rFonts w:eastAsia="PMingLiU"/>
          <w:b/>
          <w:bCs/>
          <w:i/>
          <w:sz w:val="21"/>
          <w:szCs w:val="21"/>
          <w:u w:val="single"/>
          <w:lang w:val="es-ES"/>
        </w:rPr>
        <w:t>EnterWaterSystem’sName Here</w:t>
      </w:r>
      <w:r w:rsidRPr="00412B2F">
        <w:rPr>
          <w:b/>
          <w:bCs/>
          <w:sz w:val="21"/>
          <w:szCs w:val="21"/>
          <w:lang w:val="es-ES"/>
        </w:rPr>
        <w:t>] ntawm [</w:t>
      </w:r>
      <w:r w:rsidR="00710939" w:rsidRPr="00710939">
        <w:rPr>
          <w:b/>
          <w:bCs/>
          <w:i/>
          <w:sz w:val="21"/>
          <w:szCs w:val="21"/>
          <w:u w:val="single"/>
          <w:lang w:val="es-MX"/>
        </w:rPr>
        <w:t>EnterWaterSystem’sAddressorPhoneNumber Here</w:t>
      </w:r>
      <w:r w:rsidRPr="00412B2F">
        <w:rPr>
          <w:b/>
          <w:bCs/>
          <w:sz w:val="21"/>
          <w:szCs w:val="21"/>
          <w:lang w:val="es-ES"/>
        </w:rPr>
        <w:t>] raukevpabhauvlusAskiv.</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67480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Name &amp;</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6748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White Oak Place North Fork CA 93643</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rsidR="00BC6327" w:rsidRPr="00412B2F" w:rsidRDefault="006748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Hard Rock Well</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6748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Annually in March of each year</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67480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Fred Fayal - Operator</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674807">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674807">
              <w:rPr>
                <w:sz w:val="21"/>
                <w:szCs w:val="21"/>
              </w:rPr>
              <w:t>559</w:t>
            </w:r>
            <w:r w:rsidRPr="008E4080">
              <w:rPr>
                <w:sz w:val="21"/>
                <w:szCs w:val="21"/>
              </w:rPr>
              <w:t xml:space="preserve"> )</w:t>
            </w:r>
            <w:r w:rsidR="00674807">
              <w:rPr>
                <w:sz w:val="21"/>
                <w:szCs w:val="21"/>
              </w:rPr>
              <w:t>760-1956</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xml:space="preserve">: MCLs and MRDLs for contaminants that affect health along with their </w:t>
            </w:r>
            <w:r w:rsidRPr="0012764D">
              <w:rPr>
                <w:szCs w:val="21"/>
              </w:rPr>
              <w:lastRenderedPageBreak/>
              <w:t>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 xml:space="preserve">sfrom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lastRenderedPageBreak/>
              <w:t>pCi/L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674807" w:rsidP="00383730">
            <w:pPr>
              <w:jc w:val="center"/>
              <w:rPr>
                <w:sz w:val="18"/>
                <w:szCs w:val="18"/>
                <w:u w:val="single"/>
              </w:rPr>
            </w:pPr>
            <w:r>
              <w:rPr>
                <w:sz w:val="18"/>
                <w:szCs w:val="18"/>
              </w:rPr>
              <w:t>(5</w:t>
            </w:r>
            <w:r w:rsidR="00BC6327" w:rsidRPr="00F41F91">
              <w:rPr>
                <w:sz w:val="18"/>
                <w:szCs w:val="18"/>
              </w:rPr>
              <w:t>)</w:t>
            </w:r>
          </w:p>
        </w:tc>
        <w:tc>
          <w:tcPr>
            <w:tcW w:w="1350" w:type="dxa"/>
            <w:gridSpan w:val="2"/>
            <w:tcBorders>
              <w:top w:val="nil"/>
              <w:bottom w:val="single" w:sz="4" w:space="0" w:color="auto"/>
            </w:tcBorders>
          </w:tcPr>
          <w:p w:rsidR="00BC6327" w:rsidRPr="00F41F91" w:rsidRDefault="00674807" w:rsidP="00383730">
            <w:pPr>
              <w:jc w:val="center"/>
              <w:rPr>
                <w:sz w:val="18"/>
                <w:szCs w:val="18"/>
              </w:rPr>
            </w:pPr>
            <w:r>
              <w:rPr>
                <w:sz w:val="18"/>
                <w:szCs w:val="18"/>
              </w:rPr>
              <w:t>5</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674807" w:rsidP="00383730">
            <w:pPr>
              <w:jc w:val="center"/>
              <w:rPr>
                <w:sz w:val="18"/>
                <w:szCs w:val="18"/>
              </w:rPr>
            </w:pPr>
            <w:r>
              <w:rPr>
                <w:sz w:val="18"/>
                <w:szCs w:val="18"/>
              </w:rPr>
              <w:t>(0</w:t>
            </w:r>
            <w:r w:rsidR="005540D9" w:rsidRPr="00F41F91">
              <w:rPr>
                <w:sz w:val="18"/>
                <w:szCs w:val="18"/>
              </w:rPr>
              <w:t>)</w:t>
            </w:r>
          </w:p>
        </w:tc>
        <w:tc>
          <w:tcPr>
            <w:tcW w:w="1350" w:type="dxa"/>
            <w:gridSpan w:val="2"/>
            <w:tcBorders>
              <w:top w:val="single" w:sz="4" w:space="0" w:color="auto"/>
              <w:bottom w:val="single" w:sz="4" w:space="0" w:color="auto"/>
            </w:tcBorders>
          </w:tcPr>
          <w:p w:rsidR="008F7660" w:rsidRPr="00F41F91" w:rsidRDefault="0067480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67480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40D9" w:rsidP="00383730">
            <w:pPr>
              <w:jc w:val="center"/>
              <w:rPr>
                <w:sz w:val="18"/>
                <w:szCs w:val="18"/>
              </w:rPr>
            </w:pPr>
            <w:r w:rsidRPr="00F41F91">
              <w:rPr>
                <w:sz w:val="18"/>
                <w:szCs w:val="18"/>
              </w:rPr>
              <w:t>(</w:t>
            </w:r>
            <w:r w:rsidR="00674807">
              <w:rPr>
                <w:sz w:val="18"/>
                <w:szCs w:val="18"/>
              </w:rPr>
              <w:t>0</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67480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Default="00B44817" w:rsidP="00D057C3">
            <w:pPr>
              <w:rPr>
                <w:sz w:val="18"/>
              </w:rPr>
            </w:pPr>
            <w:r w:rsidRPr="00F41F91">
              <w:rPr>
                <w:sz w:val="18"/>
              </w:rPr>
              <w:t>Lead (ppb)</w:t>
            </w:r>
          </w:p>
          <w:p w:rsidR="00674807" w:rsidRPr="00F41F91" w:rsidRDefault="00674807" w:rsidP="00D057C3">
            <w:pPr>
              <w:rPr>
                <w:sz w:val="18"/>
              </w:rPr>
            </w:pPr>
            <w:r>
              <w:rPr>
                <w:sz w:val="18"/>
              </w:rPr>
              <w:t>na</w:t>
            </w:r>
          </w:p>
        </w:tc>
        <w:tc>
          <w:tcPr>
            <w:tcW w:w="810" w:type="dxa"/>
            <w:gridSpan w:val="2"/>
            <w:tcBorders>
              <w:top w:val="nil"/>
            </w:tcBorders>
          </w:tcPr>
          <w:p w:rsidR="00B44817" w:rsidRPr="00F41F91" w:rsidRDefault="00B44817" w:rsidP="00D057C3">
            <w:pPr>
              <w:jc w:val="center"/>
              <w:rPr>
                <w:sz w:val="18"/>
              </w:rPr>
            </w:pPr>
          </w:p>
        </w:tc>
        <w:tc>
          <w:tcPr>
            <w:tcW w:w="991" w:type="dxa"/>
            <w:gridSpan w:val="2"/>
            <w:tcBorders>
              <w:top w:val="nil"/>
            </w:tcBorders>
          </w:tcPr>
          <w:p w:rsidR="00B44817" w:rsidRPr="00F41F91" w:rsidRDefault="00B44817" w:rsidP="00D057C3">
            <w:pPr>
              <w:jc w:val="center"/>
              <w:rPr>
                <w:sz w:val="18"/>
              </w:rPr>
            </w:pPr>
          </w:p>
        </w:tc>
        <w:tc>
          <w:tcPr>
            <w:tcW w:w="990" w:type="dxa"/>
            <w:gridSpan w:val="2"/>
            <w:tcBorders>
              <w:top w:val="nil"/>
              <w:bottom w:val="nil"/>
            </w:tcBorders>
          </w:tcPr>
          <w:p w:rsidR="00B44817" w:rsidRPr="00F41F91" w:rsidRDefault="00B44817" w:rsidP="00D057C3">
            <w:pPr>
              <w:jc w:val="center"/>
              <w:rPr>
                <w:sz w:val="18"/>
              </w:rPr>
            </w:pPr>
          </w:p>
        </w:tc>
        <w:tc>
          <w:tcPr>
            <w:tcW w:w="1080" w:type="dxa"/>
            <w:tcBorders>
              <w:top w:val="nil"/>
              <w:bottom w:val="nil"/>
            </w:tcBorders>
          </w:tcPr>
          <w:p w:rsidR="00B44817" w:rsidRPr="00F41F91" w:rsidRDefault="00B44817" w:rsidP="00D057C3">
            <w:pPr>
              <w:jc w:val="center"/>
              <w:rPr>
                <w:sz w:val="18"/>
              </w:rPr>
            </w:pP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44817" w:rsidP="00B44817">
            <w:pPr>
              <w:jc w:val="center"/>
              <w:rPr>
                <w:sz w:val="17"/>
                <w:szCs w:val="16"/>
              </w:rPr>
            </w:pP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Default="00B44817" w:rsidP="00D057C3">
            <w:pPr>
              <w:rPr>
                <w:sz w:val="18"/>
              </w:rPr>
            </w:pPr>
            <w:r w:rsidRPr="00F41F91">
              <w:rPr>
                <w:sz w:val="18"/>
              </w:rPr>
              <w:t>Copper (ppm)</w:t>
            </w:r>
          </w:p>
          <w:p w:rsidR="00674807" w:rsidRPr="00F41F91" w:rsidRDefault="00674807" w:rsidP="00D057C3">
            <w:pPr>
              <w:rPr>
                <w:sz w:val="18"/>
              </w:rPr>
            </w:pPr>
            <w:r>
              <w:rPr>
                <w:sz w:val="18"/>
              </w:rPr>
              <w:t>na</w:t>
            </w:r>
          </w:p>
        </w:tc>
        <w:tc>
          <w:tcPr>
            <w:tcW w:w="810" w:type="dxa"/>
            <w:gridSpan w:val="2"/>
            <w:tcBorders>
              <w:bottom w:val="single" w:sz="18" w:space="0" w:color="auto"/>
            </w:tcBorders>
          </w:tcPr>
          <w:p w:rsidR="00B44817" w:rsidRPr="00F41F91" w:rsidRDefault="00B44817" w:rsidP="00D057C3">
            <w:pPr>
              <w:jc w:val="center"/>
              <w:rPr>
                <w:sz w:val="18"/>
              </w:rPr>
            </w:pPr>
          </w:p>
        </w:tc>
        <w:tc>
          <w:tcPr>
            <w:tcW w:w="991" w:type="dxa"/>
            <w:gridSpan w:val="2"/>
            <w:tcBorders>
              <w:bottom w:val="single" w:sz="18" w:space="0" w:color="auto"/>
            </w:tcBorders>
          </w:tcPr>
          <w:p w:rsidR="00B44817" w:rsidRPr="00F41F91" w:rsidRDefault="00B44817" w:rsidP="00D057C3">
            <w:pPr>
              <w:jc w:val="center"/>
              <w:rPr>
                <w:sz w:val="18"/>
              </w:rPr>
            </w:pPr>
          </w:p>
        </w:tc>
        <w:tc>
          <w:tcPr>
            <w:tcW w:w="990" w:type="dxa"/>
            <w:gridSpan w:val="2"/>
            <w:tcBorders>
              <w:bottom w:val="single" w:sz="18" w:space="0" w:color="auto"/>
            </w:tcBorders>
          </w:tcPr>
          <w:p w:rsidR="00B44817" w:rsidRPr="00F41F91" w:rsidRDefault="00B44817" w:rsidP="00D057C3">
            <w:pPr>
              <w:jc w:val="center"/>
              <w:rPr>
                <w:sz w:val="18"/>
              </w:rPr>
            </w:pPr>
          </w:p>
        </w:tc>
        <w:tc>
          <w:tcPr>
            <w:tcW w:w="1080" w:type="dxa"/>
            <w:tcBorders>
              <w:bottom w:val="single" w:sz="18" w:space="0" w:color="auto"/>
            </w:tcBorders>
          </w:tcPr>
          <w:p w:rsidR="00B44817" w:rsidRPr="00F41F91" w:rsidRDefault="00B44817" w:rsidP="00D057C3">
            <w:pPr>
              <w:jc w:val="center"/>
              <w:rPr>
                <w:sz w:val="18"/>
              </w:rPr>
            </w:pP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Default="00B3023D" w:rsidP="009C6436">
            <w:pPr>
              <w:rPr>
                <w:sz w:val="18"/>
              </w:rPr>
            </w:pPr>
            <w:r w:rsidRPr="00F41F91">
              <w:rPr>
                <w:sz w:val="18"/>
              </w:rPr>
              <w:t>Sodium (ppm)</w:t>
            </w:r>
          </w:p>
          <w:p w:rsidR="00E57624" w:rsidRPr="00F41F91" w:rsidRDefault="00E57624" w:rsidP="009C6436">
            <w:pPr>
              <w:rPr>
                <w:sz w:val="18"/>
              </w:rPr>
            </w:pPr>
            <w:r>
              <w:rPr>
                <w:sz w:val="18"/>
              </w:rPr>
              <w:t>Na</w:t>
            </w:r>
          </w:p>
        </w:tc>
        <w:tc>
          <w:tcPr>
            <w:tcW w:w="1008" w:type="dxa"/>
            <w:gridSpan w:val="2"/>
            <w:tcBorders>
              <w:top w:val="nil"/>
              <w:bottom w:val="single" w:sz="4" w:space="0" w:color="auto"/>
            </w:tcBorders>
          </w:tcPr>
          <w:p w:rsidR="00B3023D" w:rsidRPr="00F41F91" w:rsidRDefault="00B3023D" w:rsidP="009C6436">
            <w:pPr>
              <w:jc w:val="center"/>
              <w:rPr>
                <w:sz w:val="18"/>
              </w:rPr>
            </w:pPr>
          </w:p>
        </w:tc>
        <w:tc>
          <w:tcPr>
            <w:tcW w:w="1350" w:type="dxa"/>
            <w:tcBorders>
              <w:top w:val="nil"/>
              <w:bottom w:val="single" w:sz="4" w:space="0" w:color="auto"/>
            </w:tcBorders>
          </w:tcPr>
          <w:p w:rsidR="00B3023D" w:rsidRPr="00F41F91" w:rsidRDefault="00B3023D" w:rsidP="009C6436">
            <w:pPr>
              <w:jc w:val="center"/>
              <w:rPr>
                <w:sz w:val="18"/>
              </w:rPr>
            </w:pPr>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Default="00B3023D" w:rsidP="009C6436">
            <w:pPr>
              <w:rPr>
                <w:sz w:val="18"/>
              </w:rPr>
            </w:pPr>
            <w:r w:rsidRPr="00F41F91">
              <w:rPr>
                <w:sz w:val="18"/>
              </w:rPr>
              <w:t>Hardness (ppm)</w:t>
            </w:r>
          </w:p>
          <w:p w:rsidR="00E57624" w:rsidRPr="00F41F91" w:rsidRDefault="00E57624" w:rsidP="009C6436">
            <w:pPr>
              <w:rPr>
                <w:sz w:val="18"/>
              </w:rPr>
            </w:pPr>
            <w:r>
              <w:rPr>
                <w:sz w:val="18"/>
              </w:rPr>
              <w:t>Na</w:t>
            </w:r>
          </w:p>
        </w:tc>
        <w:tc>
          <w:tcPr>
            <w:tcW w:w="1008" w:type="dxa"/>
            <w:gridSpan w:val="2"/>
            <w:tcBorders>
              <w:bottom w:val="single" w:sz="18" w:space="0" w:color="auto"/>
            </w:tcBorders>
          </w:tcPr>
          <w:p w:rsidR="00B3023D" w:rsidRPr="00F41F91" w:rsidRDefault="00B3023D" w:rsidP="009C6436">
            <w:pPr>
              <w:jc w:val="center"/>
              <w:rPr>
                <w:sz w:val="18"/>
              </w:rPr>
            </w:pPr>
          </w:p>
        </w:tc>
        <w:tc>
          <w:tcPr>
            <w:tcW w:w="1350" w:type="dxa"/>
            <w:tcBorders>
              <w:bottom w:val="single" w:sz="18" w:space="0" w:color="auto"/>
            </w:tcBorders>
          </w:tcPr>
          <w:p w:rsidR="00B3023D" w:rsidRPr="00F41F91" w:rsidRDefault="00B3023D" w:rsidP="009C6436">
            <w:pPr>
              <w:jc w:val="center"/>
              <w:rPr>
                <w:sz w:val="18"/>
              </w:rPr>
            </w:pPr>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E57624" w:rsidP="00E57624">
            <w:pPr>
              <w:rPr>
                <w:sz w:val="18"/>
              </w:rPr>
            </w:pPr>
            <w:r>
              <w:rPr>
                <w:sz w:val="18"/>
              </w:rPr>
              <w:t>Arsenic</w:t>
            </w:r>
          </w:p>
        </w:tc>
        <w:tc>
          <w:tcPr>
            <w:tcW w:w="990" w:type="dxa"/>
            <w:tcBorders>
              <w:top w:val="nil"/>
            </w:tcBorders>
          </w:tcPr>
          <w:p w:rsidR="00BC6327" w:rsidRPr="00F41F91" w:rsidRDefault="00E57624" w:rsidP="00D057C3">
            <w:pPr>
              <w:jc w:val="center"/>
              <w:rPr>
                <w:sz w:val="18"/>
              </w:rPr>
            </w:pPr>
            <w:r>
              <w:rPr>
                <w:sz w:val="18"/>
              </w:rPr>
              <w:t>Quarterly</w:t>
            </w:r>
          </w:p>
        </w:tc>
        <w:tc>
          <w:tcPr>
            <w:tcW w:w="1350" w:type="dxa"/>
            <w:tcBorders>
              <w:top w:val="nil"/>
            </w:tcBorders>
          </w:tcPr>
          <w:p w:rsidR="00BC6327" w:rsidRPr="00F41F91" w:rsidRDefault="00E57624" w:rsidP="00D057C3">
            <w:pPr>
              <w:jc w:val="center"/>
              <w:rPr>
                <w:sz w:val="18"/>
              </w:rPr>
            </w:pPr>
            <w:r>
              <w:rPr>
                <w:sz w:val="18"/>
              </w:rPr>
              <w:t>11ppm</w:t>
            </w:r>
          </w:p>
        </w:tc>
        <w:tc>
          <w:tcPr>
            <w:tcW w:w="1440" w:type="dxa"/>
            <w:tcBorders>
              <w:top w:val="nil"/>
            </w:tcBorders>
          </w:tcPr>
          <w:p w:rsidR="00BC6327" w:rsidRPr="00F41F91" w:rsidRDefault="00E57624" w:rsidP="00D057C3">
            <w:pPr>
              <w:jc w:val="center"/>
              <w:rPr>
                <w:sz w:val="18"/>
              </w:rPr>
            </w:pPr>
            <w:r>
              <w:rPr>
                <w:sz w:val="18"/>
              </w:rPr>
              <w:t>0-100</w:t>
            </w:r>
          </w:p>
        </w:tc>
        <w:tc>
          <w:tcPr>
            <w:tcW w:w="900" w:type="dxa"/>
            <w:tcBorders>
              <w:top w:val="nil"/>
            </w:tcBorders>
          </w:tcPr>
          <w:p w:rsidR="00BC6327" w:rsidRPr="00F41F91" w:rsidRDefault="00E57624" w:rsidP="00D057C3">
            <w:pPr>
              <w:jc w:val="center"/>
              <w:rPr>
                <w:sz w:val="18"/>
              </w:rPr>
            </w:pPr>
            <w:r>
              <w:rPr>
                <w:sz w:val="18"/>
              </w:rPr>
              <w:t>10</w:t>
            </w:r>
          </w:p>
        </w:tc>
        <w:tc>
          <w:tcPr>
            <w:tcW w:w="1080" w:type="dxa"/>
            <w:tcBorders>
              <w:top w:val="nil"/>
            </w:tcBorders>
          </w:tcPr>
          <w:p w:rsidR="00BC6327" w:rsidRPr="00F41F91" w:rsidRDefault="00E57624" w:rsidP="00D057C3">
            <w:pPr>
              <w:jc w:val="center"/>
              <w:rPr>
                <w:sz w:val="18"/>
              </w:rPr>
            </w:pPr>
            <w:r>
              <w:rPr>
                <w:sz w:val="18"/>
              </w:rPr>
              <w:t>0</w:t>
            </w:r>
          </w:p>
        </w:tc>
        <w:tc>
          <w:tcPr>
            <w:tcW w:w="2808" w:type="dxa"/>
            <w:tcBorders>
              <w:top w:val="nil"/>
              <w:right w:val="single" w:sz="6" w:space="0" w:color="auto"/>
            </w:tcBorders>
          </w:tcPr>
          <w:p w:rsidR="00BC6327" w:rsidRPr="00F41F91" w:rsidRDefault="00E57624" w:rsidP="00D057C3">
            <w:pPr>
              <w:rPr>
                <w:sz w:val="18"/>
              </w:rPr>
            </w:pPr>
            <w:r>
              <w:rPr>
                <w:sz w:val="18"/>
              </w:rPr>
              <w:t>Natural Mineral</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0"/>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tcBorders>
          </w:tcPr>
          <w:p w:rsidR="00BC6327" w:rsidRPr="00F41F91" w:rsidRDefault="00BC6327" w:rsidP="00D057C3">
            <w:pPr>
              <w:jc w:val="center"/>
              <w:rPr>
                <w:sz w:val="18"/>
              </w:rPr>
            </w:pP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E57624" w:rsidP="00D057C3">
            <w:pPr>
              <w:ind w:left="187"/>
              <w:rPr>
                <w:sz w:val="18"/>
              </w:rPr>
            </w:pPr>
            <w:r>
              <w:rPr>
                <w:sz w:val="18"/>
              </w:rPr>
              <w:t>NA</w:t>
            </w: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674807" w:rsidP="00AC41BE">
            <w:pPr>
              <w:pStyle w:val="BodyText"/>
              <w:spacing w:before="0"/>
              <w:jc w:val="left"/>
              <w:rPr>
                <w:rFonts w:ascii="Times New Roman" w:hAnsi="Times New Roman"/>
                <w:b/>
                <w:sz w:val="26"/>
              </w:rPr>
            </w:pPr>
            <w:r>
              <w:rPr>
                <w:rFonts w:ascii="Times New Roman" w:hAnsi="Times New Roman"/>
                <w:b/>
                <w:sz w:val="26"/>
              </w:rPr>
              <w:t>Tier 2</w:t>
            </w:r>
          </w:p>
        </w:tc>
        <w:tc>
          <w:tcPr>
            <w:tcW w:w="2203" w:type="dxa"/>
            <w:tcBorders>
              <w:top w:val="double" w:sz="6" w:space="0" w:color="auto"/>
              <w:bottom w:val="single" w:sz="4" w:space="0" w:color="auto"/>
            </w:tcBorders>
            <w:shd w:val="clear" w:color="auto" w:fill="auto"/>
          </w:tcPr>
          <w:p w:rsidR="00803861" w:rsidRPr="00F41F91" w:rsidRDefault="00674807" w:rsidP="00AC41BE">
            <w:pPr>
              <w:pStyle w:val="BodyText"/>
              <w:spacing w:before="0"/>
              <w:jc w:val="left"/>
              <w:rPr>
                <w:rFonts w:ascii="Times New Roman" w:hAnsi="Times New Roman"/>
                <w:b/>
                <w:sz w:val="26"/>
              </w:rPr>
            </w:pPr>
            <w:r>
              <w:rPr>
                <w:rFonts w:ascii="Times New Roman" w:hAnsi="Times New Roman"/>
                <w:b/>
                <w:sz w:val="26"/>
              </w:rPr>
              <w:t>Positive Choliform</w:t>
            </w:r>
          </w:p>
        </w:tc>
        <w:tc>
          <w:tcPr>
            <w:tcW w:w="2203" w:type="dxa"/>
            <w:tcBorders>
              <w:top w:val="double" w:sz="6" w:space="0" w:color="auto"/>
              <w:bottom w:val="single" w:sz="4" w:space="0" w:color="auto"/>
            </w:tcBorders>
            <w:shd w:val="clear" w:color="auto" w:fill="auto"/>
          </w:tcPr>
          <w:p w:rsidR="00803861" w:rsidRPr="00F41F91" w:rsidRDefault="00674807" w:rsidP="00AC41BE">
            <w:pPr>
              <w:pStyle w:val="BodyText"/>
              <w:spacing w:before="0"/>
              <w:jc w:val="left"/>
              <w:rPr>
                <w:rFonts w:ascii="Times New Roman" w:hAnsi="Times New Roman"/>
                <w:b/>
                <w:sz w:val="26"/>
              </w:rPr>
            </w:pPr>
            <w:r>
              <w:rPr>
                <w:rFonts w:ascii="Times New Roman" w:hAnsi="Times New Roman"/>
                <w:b/>
                <w:sz w:val="26"/>
              </w:rPr>
              <w:t>5 months</w:t>
            </w:r>
          </w:p>
        </w:tc>
        <w:tc>
          <w:tcPr>
            <w:tcW w:w="2203" w:type="dxa"/>
            <w:tcBorders>
              <w:top w:val="double" w:sz="6" w:space="0" w:color="auto"/>
              <w:bottom w:val="single" w:sz="4" w:space="0" w:color="auto"/>
            </w:tcBorders>
            <w:shd w:val="clear" w:color="auto" w:fill="auto"/>
          </w:tcPr>
          <w:p w:rsidR="00803861" w:rsidRPr="00F41F91" w:rsidRDefault="00674807" w:rsidP="00AC41BE">
            <w:pPr>
              <w:pStyle w:val="BodyText"/>
              <w:spacing w:before="0"/>
              <w:jc w:val="left"/>
              <w:rPr>
                <w:rFonts w:ascii="Times New Roman" w:hAnsi="Times New Roman"/>
                <w:b/>
                <w:sz w:val="26"/>
              </w:rPr>
            </w:pPr>
            <w:r>
              <w:rPr>
                <w:rFonts w:ascii="Times New Roman" w:hAnsi="Times New Roman"/>
                <w:b/>
                <w:sz w:val="26"/>
              </w:rPr>
              <w:t>Installed Chlorinator</w:t>
            </w:r>
          </w:p>
        </w:tc>
        <w:tc>
          <w:tcPr>
            <w:tcW w:w="2096" w:type="dxa"/>
            <w:tcBorders>
              <w:top w:val="double" w:sz="6" w:space="0" w:color="auto"/>
              <w:bottom w:val="single" w:sz="4" w:space="0" w:color="auto"/>
            </w:tcBorders>
            <w:shd w:val="clear" w:color="auto" w:fill="auto"/>
          </w:tcPr>
          <w:p w:rsidR="00803861" w:rsidRPr="00F41F91" w:rsidRDefault="00674807" w:rsidP="00AC41BE">
            <w:pPr>
              <w:pStyle w:val="BodyText"/>
              <w:spacing w:before="0"/>
              <w:jc w:val="left"/>
              <w:rPr>
                <w:rFonts w:ascii="Times New Roman" w:hAnsi="Times New Roman"/>
                <w:b/>
                <w:sz w:val="26"/>
              </w:rPr>
            </w:pPr>
            <w:r>
              <w:rPr>
                <w:rFonts w:ascii="Times New Roman" w:hAnsi="Times New Roman"/>
                <w:b/>
                <w:sz w:val="26"/>
              </w:rPr>
              <w:t>See page 7 below</w:t>
            </w: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674807" w:rsidP="00AC41BE">
            <w:pPr>
              <w:pStyle w:val="BodyText"/>
              <w:spacing w:before="0"/>
              <w:jc w:val="left"/>
              <w:rPr>
                <w:rFonts w:ascii="Times New Roman" w:hAnsi="Times New Roman"/>
                <w:b/>
                <w:sz w:val="26"/>
              </w:rPr>
            </w:pPr>
            <w:r>
              <w:rPr>
                <w:rFonts w:ascii="Times New Roman" w:hAnsi="Times New Roman"/>
                <w:b/>
                <w:sz w:val="26"/>
              </w:rPr>
              <w:t xml:space="preserve">Tier </w:t>
            </w:r>
            <w:r w:rsidR="00772E40">
              <w:rPr>
                <w:rFonts w:ascii="Times New Roman" w:hAnsi="Times New Roman"/>
                <w:b/>
                <w:sz w:val="26"/>
              </w:rPr>
              <w:t>3</w:t>
            </w:r>
          </w:p>
        </w:tc>
        <w:tc>
          <w:tcPr>
            <w:tcW w:w="2203" w:type="dxa"/>
            <w:tcBorders>
              <w:bottom w:val="single" w:sz="18" w:space="0" w:color="auto"/>
            </w:tcBorders>
            <w:shd w:val="clear" w:color="auto" w:fill="auto"/>
          </w:tcPr>
          <w:p w:rsidR="00BB3E43" w:rsidRPr="00F41F91" w:rsidRDefault="00674807" w:rsidP="00AC41BE">
            <w:pPr>
              <w:pStyle w:val="BodyText"/>
              <w:spacing w:before="0"/>
              <w:jc w:val="left"/>
              <w:rPr>
                <w:rFonts w:ascii="Times New Roman" w:hAnsi="Times New Roman"/>
                <w:b/>
                <w:sz w:val="26"/>
              </w:rPr>
            </w:pPr>
            <w:r>
              <w:rPr>
                <w:rFonts w:ascii="Times New Roman" w:hAnsi="Times New Roman"/>
                <w:b/>
                <w:sz w:val="26"/>
              </w:rPr>
              <w:t>No Nitrate Sample</w:t>
            </w:r>
          </w:p>
        </w:tc>
        <w:tc>
          <w:tcPr>
            <w:tcW w:w="2203" w:type="dxa"/>
            <w:tcBorders>
              <w:bottom w:val="single" w:sz="18" w:space="0" w:color="auto"/>
            </w:tcBorders>
            <w:shd w:val="clear" w:color="auto" w:fill="auto"/>
          </w:tcPr>
          <w:p w:rsidR="00BB3E43" w:rsidRPr="00F41F91" w:rsidRDefault="00674807" w:rsidP="00AC41BE">
            <w:pPr>
              <w:pStyle w:val="BodyText"/>
              <w:spacing w:before="0"/>
              <w:jc w:val="left"/>
              <w:rPr>
                <w:rFonts w:ascii="Times New Roman" w:hAnsi="Times New Roman"/>
                <w:b/>
                <w:sz w:val="26"/>
              </w:rPr>
            </w:pPr>
            <w:r>
              <w:rPr>
                <w:rFonts w:ascii="Times New Roman" w:hAnsi="Times New Roman"/>
                <w:b/>
                <w:sz w:val="26"/>
              </w:rPr>
              <w:t>12 months</w:t>
            </w:r>
          </w:p>
        </w:tc>
        <w:tc>
          <w:tcPr>
            <w:tcW w:w="2203" w:type="dxa"/>
            <w:tcBorders>
              <w:bottom w:val="single" w:sz="18" w:space="0" w:color="auto"/>
            </w:tcBorders>
            <w:shd w:val="clear" w:color="auto" w:fill="auto"/>
          </w:tcPr>
          <w:p w:rsidR="00BB3E43" w:rsidRPr="00F41F91" w:rsidRDefault="00674807" w:rsidP="00AC41BE">
            <w:pPr>
              <w:pStyle w:val="BodyText"/>
              <w:spacing w:before="0"/>
              <w:jc w:val="left"/>
              <w:rPr>
                <w:rFonts w:ascii="Times New Roman" w:hAnsi="Times New Roman"/>
                <w:b/>
                <w:sz w:val="26"/>
              </w:rPr>
            </w:pPr>
            <w:r>
              <w:rPr>
                <w:rFonts w:ascii="Times New Roman" w:hAnsi="Times New Roman"/>
                <w:b/>
                <w:sz w:val="26"/>
              </w:rPr>
              <w:t>Resampled</w:t>
            </w: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674807">
            <w:pPr>
              <w:spacing w:before="20" w:after="20"/>
              <w:jc w:val="center"/>
              <w:rPr>
                <w:sz w:val="18"/>
              </w:rPr>
            </w:pPr>
            <w:r w:rsidRPr="00F41F91">
              <w:rPr>
                <w:sz w:val="18"/>
              </w:rPr>
              <w:t>(</w:t>
            </w:r>
            <w:r w:rsidR="00674807">
              <w:rPr>
                <w:sz w:val="18"/>
              </w:rPr>
              <w:t>0</w:t>
            </w:r>
            <w:r w:rsidRPr="00F41F91">
              <w:rPr>
                <w:sz w:val="18"/>
              </w:rPr>
              <w:t>)</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674807">
            <w:pPr>
              <w:spacing w:before="20" w:after="20"/>
              <w:jc w:val="center"/>
              <w:rPr>
                <w:sz w:val="18"/>
              </w:rPr>
            </w:pPr>
            <w:r w:rsidRPr="00F41F91">
              <w:rPr>
                <w:sz w:val="18"/>
              </w:rPr>
              <w:t>(</w:t>
            </w:r>
            <w:r w:rsidR="00674807">
              <w:rPr>
                <w:sz w:val="18"/>
              </w:rPr>
              <w:t>0</w:t>
            </w:r>
            <w:r w:rsidRPr="00F41F91">
              <w:rPr>
                <w:sz w:val="18"/>
              </w:rPr>
              <w:t>)</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674807">
            <w:pPr>
              <w:spacing w:before="20" w:after="20"/>
              <w:jc w:val="center"/>
              <w:rPr>
                <w:sz w:val="18"/>
              </w:rPr>
            </w:pPr>
            <w:r w:rsidRPr="00F41F91">
              <w:rPr>
                <w:sz w:val="18"/>
              </w:rPr>
              <w:t>(</w:t>
            </w:r>
            <w:r w:rsidR="00674807">
              <w:rPr>
                <w:sz w:val="18"/>
              </w:rPr>
              <w:t>0</w:t>
            </w:r>
            <w:r w:rsidRPr="00F41F91">
              <w:rPr>
                <w:sz w:val="18"/>
              </w:rPr>
              <w:t>)</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674807" w:rsidP="00CC2F86">
            <w:pPr>
              <w:pStyle w:val="BodyText"/>
              <w:spacing w:before="0"/>
              <w:jc w:val="left"/>
              <w:rPr>
                <w:rFonts w:ascii="Times New Roman" w:hAnsi="Times New Roman"/>
              </w:rPr>
            </w:pPr>
            <w:r>
              <w:rPr>
                <w:rFonts w:ascii="Times New Roman" w:hAnsi="Times New Roman"/>
              </w:rPr>
              <w:t>na</w:t>
            </w: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E57624" w:rsidP="00CC2F86">
            <w:pPr>
              <w:pStyle w:val="BodyText"/>
              <w:spacing w:before="0"/>
              <w:jc w:val="left"/>
              <w:rPr>
                <w:rFonts w:ascii="Times New Roman" w:hAnsi="Times New Roman"/>
              </w:rPr>
            </w:pPr>
            <w:r>
              <w:rPr>
                <w:rFonts w:ascii="Times New Roman" w:hAnsi="Times New Roman"/>
              </w:rPr>
              <w:t>Arsenic levels exceed MCL. Grant funding project to obtain new water source is being conducted currently</w:t>
            </w: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E57624" w:rsidP="001B74B7">
            <w:pPr>
              <w:pStyle w:val="BodyText"/>
              <w:spacing w:before="20" w:after="20"/>
              <w:jc w:val="left"/>
              <w:rPr>
                <w:rFonts w:ascii="Times New Roman" w:hAnsi="Times New Roman"/>
                <w:b/>
                <w:sz w:val="26"/>
              </w:rPr>
            </w:pPr>
            <w:r>
              <w:rPr>
                <w:rFonts w:ascii="Times New Roman" w:hAnsi="Times New Roman"/>
                <w:b/>
                <w:sz w:val="26"/>
              </w:rPr>
              <w:t>Arsenic</w:t>
            </w:r>
          </w:p>
        </w:tc>
        <w:tc>
          <w:tcPr>
            <w:tcW w:w="2203" w:type="dxa"/>
            <w:tcBorders>
              <w:top w:val="double" w:sz="6" w:space="0" w:color="auto"/>
              <w:bottom w:val="single" w:sz="4" w:space="0" w:color="auto"/>
            </w:tcBorders>
            <w:shd w:val="clear" w:color="auto" w:fill="auto"/>
          </w:tcPr>
          <w:p w:rsidR="00C24948" w:rsidRPr="00F41F91" w:rsidRDefault="00E57624" w:rsidP="001B74B7">
            <w:pPr>
              <w:pStyle w:val="BodyText"/>
              <w:spacing w:before="20" w:after="20"/>
              <w:jc w:val="left"/>
              <w:rPr>
                <w:rFonts w:ascii="Times New Roman" w:hAnsi="Times New Roman"/>
                <w:b/>
                <w:sz w:val="26"/>
              </w:rPr>
            </w:pPr>
            <w:r>
              <w:rPr>
                <w:rFonts w:ascii="Times New Roman" w:hAnsi="Times New Roman"/>
                <w:b/>
                <w:sz w:val="26"/>
              </w:rPr>
              <w:t>Over 10ppm</w:t>
            </w:r>
          </w:p>
        </w:tc>
        <w:tc>
          <w:tcPr>
            <w:tcW w:w="2203" w:type="dxa"/>
            <w:tcBorders>
              <w:top w:val="double" w:sz="6" w:space="0" w:color="auto"/>
              <w:bottom w:val="single" w:sz="4" w:space="0" w:color="auto"/>
            </w:tcBorders>
            <w:shd w:val="clear" w:color="auto" w:fill="auto"/>
          </w:tcPr>
          <w:p w:rsidR="00C24948" w:rsidRPr="00F41F91" w:rsidRDefault="00E57624" w:rsidP="001B74B7">
            <w:pPr>
              <w:pStyle w:val="BodyText"/>
              <w:spacing w:before="20" w:after="20"/>
              <w:jc w:val="left"/>
              <w:rPr>
                <w:rFonts w:ascii="Times New Roman" w:hAnsi="Times New Roman"/>
                <w:b/>
                <w:sz w:val="26"/>
              </w:rPr>
            </w:pPr>
            <w:r>
              <w:rPr>
                <w:rFonts w:ascii="Times New Roman" w:hAnsi="Times New Roman"/>
                <w:b/>
                <w:sz w:val="26"/>
              </w:rPr>
              <w:t>12 months</w:t>
            </w:r>
          </w:p>
        </w:tc>
        <w:tc>
          <w:tcPr>
            <w:tcW w:w="2203" w:type="dxa"/>
            <w:tcBorders>
              <w:top w:val="double" w:sz="6" w:space="0" w:color="auto"/>
              <w:bottom w:val="single" w:sz="4" w:space="0" w:color="auto"/>
            </w:tcBorders>
            <w:shd w:val="clear" w:color="auto" w:fill="auto"/>
          </w:tcPr>
          <w:p w:rsidR="00C24948" w:rsidRPr="00F41F91" w:rsidRDefault="00E57624" w:rsidP="001B74B7">
            <w:pPr>
              <w:pStyle w:val="BodyText"/>
              <w:spacing w:before="20" w:after="20"/>
              <w:jc w:val="left"/>
              <w:rPr>
                <w:rFonts w:ascii="Times New Roman" w:hAnsi="Times New Roman"/>
                <w:b/>
                <w:sz w:val="26"/>
              </w:rPr>
            </w:pPr>
            <w:r>
              <w:rPr>
                <w:rFonts w:ascii="Times New Roman" w:hAnsi="Times New Roman"/>
                <w:b/>
                <w:sz w:val="26"/>
              </w:rPr>
              <w:t>New Source</w:t>
            </w:r>
          </w:p>
        </w:tc>
        <w:tc>
          <w:tcPr>
            <w:tcW w:w="2096" w:type="dxa"/>
            <w:tcBorders>
              <w:top w:val="double" w:sz="6" w:space="0" w:color="auto"/>
              <w:bottom w:val="single" w:sz="4" w:space="0" w:color="auto"/>
            </w:tcBorders>
            <w:shd w:val="clear" w:color="auto" w:fill="auto"/>
          </w:tcPr>
          <w:p w:rsidR="00C24948" w:rsidRPr="00F41F91" w:rsidRDefault="00E57624" w:rsidP="001B74B7">
            <w:pPr>
              <w:pStyle w:val="BodyText"/>
              <w:spacing w:before="20" w:after="20"/>
              <w:jc w:val="left"/>
              <w:rPr>
                <w:rFonts w:ascii="Times New Roman" w:hAnsi="Times New Roman"/>
                <w:b/>
                <w:sz w:val="26"/>
              </w:rPr>
            </w:pPr>
            <w:r w:rsidRPr="00B94B95">
              <w:rPr>
                <w:szCs w:val="24"/>
              </w:rPr>
              <w:t xml:space="preserve">While your drinking water meets the federal and state standard for arsenic, </w:t>
            </w:r>
            <w:r w:rsidRPr="00B94B95">
              <w:rPr>
                <w:szCs w:val="24"/>
              </w:rPr>
              <w:lastRenderedPageBreak/>
              <w:t xml:space="preserve">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B94B95">
                  <w:rPr>
                    <w:szCs w:val="24"/>
                  </w:rPr>
                  <w:t>U.S.</w:t>
                </w:r>
              </w:smartTag>
            </w:smartTag>
            <w:r w:rsidRPr="00B94B95">
              <w:rPr>
                <w:szCs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bookmarkEnd w:id="1"/>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E57624" w:rsidP="00D272CB">
            <w:pPr>
              <w:pStyle w:val="BodyText"/>
              <w:spacing w:before="20" w:after="20"/>
              <w:jc w:val="left"/>
              <w:rPr>
                <w:rFonts w:ascii="Times New Roman" w:hAnsi="Times New Roman"/>
                <w:b/>
                <w:sz w:val="26"/>
              </w:rPr>
            </w:pPr>
            <w:r>
              <w:rPr>
                <w:rFonts w:ascii="Times New Roman" w:hAnsi="Times New Roman"/>
                <w:b/>
                <w:sz w:val="26"/>
              </w:rPr>
              <w:lastRenderedPageBreak/>
              <w:t>NA</w:t>
            </w: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During the past year we were required to conduct</w:t>
      </w:r>
      <w:r w:rsidR="00674807">
        <w:rPr>
          <w:sz w:val="22"/>
          <w:szCs w:val="24"/>
        </w:rPr>
        <w:t xml:space="preserve"> 0</w:t>
      </w:r>
      <w:r w:rsidRPr="003C7E02">
        <w:rPr>
          <w:sz w:val="22"/>
          <w:szCs w:val="24"/>
        </w:rPr>
        <w:t xml:space="preserve"> Level</w:t>
      </w:r>
      <w:r w:rsidR="007D21BB">
        <w:rPr>
          <w:sz w:val="22"/>
          <w:szCs w:val="24"/>
        </w:rPr>
        <w:t> </w:t>
      </w:r>
      <w:r w:rsidRPr="003C7E02">
        <w:rPr>
          <w:sz w:val="22"/>
          <w:szCs w:val="24"/>
        </w:rPr>
        <w:t xml:space="preserve">1 assessment(s).  </w:t>
      </w:r>
      <w:r w:rsidR="00674807">
        <w:rPr>
          <w:sz w:val="22"/>
          <w:szCs w:val="24"/>
        </w:rPr>
        <w:t>0</w:t>
      </w:r>
      <w:r w:rsidRPr="003C7E02">
        <w:rPr>
          <w:sz w:val="22"/>
          <w:szCs w:val="24"/>
        </w:rPr>
        <w:t xml:space="preserve"> Level 1 assessment(s) were completed.  In addition, we were required to take </w:t>
      </w:r>
      <w:r w:rsidR="00674807">
        <w:rPr>
          <w:sz w:val="22"/>
          <w:szCs w:val="24"/>
        </w:rPr>
        <w:t>0</w:t>
      </w:r>
      <w:r w:rsidRPr="003C7E02">
        <w:rPr>
          <w:sz w:val="22"/>
          <w:szCs w:val="24"/>
        </w:rPr>
        <w:t xml:space="preserve"> corrective actions and we completed </w:t>
      </w:r>
      <w:r w:rsidR="00674807">
        <w:rPr>
          <w:sz w:val="22"/>
          <w:szCs w:val="24"/>
        </w:rPr>
        <w:t>0</w:t>
      </w:r>
      <w:r w:rsidRPr="003C7E02">
        <w:rPr>
          <w:sz w:val="22"/>
          <w:szCs w:val="24"/>
        </w:rPr>
        <w:t xml:space="preserve"> of these actions.</w:t>
      </w:r>
    </w:p>
    <w:p w:rsidR="00DD7D18" w:rsidRPr="003C7E02" w:rsidRDefault="00DD7D18" w:rsidP="00415B66">
      <w:pPr>
        <w:spacing w:before="120" w:after="120"/>
        <w:jc w:val="both"/>
        <w:rPr>
          <w:sz w:val="22"/>
          <w:szCs w:val="24"/>
        </w:rPr>
      </w:pPr>
      <w:r w:rsidRPr="003C7E02">
        <w:rPr>
          <w:sz w:val="22"/>
          <w:szCs w:val="24"/>
        </w:rPr>
        <w:t xml:space="preserve">During the past year </w:t>
      </w:r>
      <w:r w:rsidR="00674807">
        <w:rPr>
          <w:sz w:val="22"/>
          <w:szCs w:val="24"/>
        </w:rPr>
        <w:t>1</w:t>
      </w:r>
      <w:r w:rsidR="00E57624">
        <w:rPr>
          <w:sz w:val="22"/>
          <w:szCs w:val="24"/>
        </w:rPr>
        <w:t xml:space="preserve"> Level 5</w:t>
      </w:r>
      <w:r w:rsidRPr="003C7E02">
        <w:rPr>
          <w:sz w:val="22"/>
          <w:szCs w:val="24"/>
        </w:rPr>
        <w:t xml:space="preserve"> assessments were required to be completed for our water system.</w:t>
      </w:r>
      <w:r w:rsidR="00E57624">
        <w:rPr>
          <w:sz w:val="22"/>
          <w:szCs w:val="24"/>
        </w:rPr>
        <w:t>5</w:t>
      </w:r>
      <w:r w:rsidRPr="003C7E02">
        <w:rPr>
          <w:sz w:val="22"/>
          <w:szCs w:val="24"/>
        </w:rPr>
        <w:t xml:space="preserve"> Level 2 assessments were completed.  In addition, we were required to take</w:t>
      </w:r>
      <w:r w:rsidR="00E57624">
        <w:rPr>
          <w:sz w:val="22"/>
          <w:szCs w:val="24"/>
        </w:rPr>
        <w:t xml:space="preserve"> 5</w:t>
      </w:r>
      <w:r w:rsidRPr="003C7E02">
        <w:rPr>
          <w:sz w:val="22"/>
          <w:szCs w:val="24"/>
        </w:rPr>
        <w:t xml:space="preserve"> corrective actions and we completed </w:t>
      </w:r>
      <w:r w:rsidR="00E57624">
        <w:rPr>
          <w:sz w:val="22"/>
          <w:szCs w:val="24"/>
        </w:rPr>
        <w:t>5</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E57624" w:rsidP="00D924EC">
            <w:pPr>
              <w:pStyle w:val="BodyText"/>
              <w:spacing w:before="0"/>
              <w:jc w:val="left"/>
              <w:rPr>
                <w:rFonts w:ascii="Times New Roman" w:hAnsi="Times New Roman"/>
              </w:rPr>
            </w:pPr>
            <w:r>
              <w:rPr>
                <w:rFonts w:ascii="Times New Roman" w:hAnsi="Times New Roman"/>
              </w:rPr>
              <w:t>Failed Bacti samples 5 times. Investigated issue and resolved by repairing broken lines, resampled and installed Chlorination System</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w:t>
      </w:r>
      <w:r w:rsidRPr="003C7E02">
        <w:rPr>
          <w:sz w:val="22"/>
          <w:szCs w:val="24"/>
        </w:rPr>
        <w:lastRenderedPageBreak/>
        <w:t xml:space="preserve">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w:t>
      </w:r>
      <w:r w:rsidR="00E57624">
        <w:rPr>
          <w:sz w:val="22"/>
          <w:szCs w:val="22"/>
        </w:rPr>
        <w:t xml:space="preserve"> 0</w:t>
      </w:r>
      <w:r w:rsidRPr="00415B66">
        <w:rPr>
          <w:sz w:val="22"/>
          <w:szCs w:val="22"/>
        </w:rPr>
        <w:t xml:space="preserve"> corrective actions and we completed</w:t>
      </w:r>
      <w:r w:rsidR="00E57624">
        <w:rPr>
          <w:sz w:val="22"/>
          <w:szCs w:val="22"/>
        </w:rPr>
        <w:t xml:space="preserve"> 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E57624" w:rsidP="00D924EC">
            <w:pPr>
              <w:pStyle w:val="BodyText"/>
              <w:spacing w:before="0"/>
              <w:jc w:val="left"/>
              <w:rPr>
                <w:rFonts w:ascii="Times New Roman" w:hAnsi="Times New Roman"/>
              </w:rPr>
            </w:pPr>
            <w:r>
              <w:rPr>
                <w:rFonts w:ascii="Times New Roman" w:hAnsi="Times New Roman"/>
              </w:rPr>
              <w:t>No E. coli was found</w:t>
            </w: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273" w:rsidRDefault="00F44273">
      <w:r>
        <w:separator/>
      </w:r>
    </w:p>
  </w:endnote>
  <w:endnote w:type="continuationSeparator" w:id="1">
    <w:p w:rsidR="00F44273" w:rsidRDefault="00F442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273" w:rsidRDefault="00F44273">
      <w:r>
        <w:separator/>
      </w:r>
    </w:p>
  </w:footnote>
  <w:footnote w:type="continuationSeparator" w:id="1">
    <w:p w:rsidR="00F44273" w:rsidRDefault="00F44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394FC2">
      <w:rPr>
        <w:rStyle w:val="PageNumber"/>
        <w:i/>
        <w:iCs/>
        <w:u w:val="single"/>
      </w:rPr>
      <w:fldChar w:fldCharType="begin"/>
    </w:r>
    <w:r>
      <w:rPr>
        <w:rStyle w:val="PageNumber"/>
        <w:i/>
        <w:iCs/>
        <w:u w:val="single"/>
      </w:rPr>
      <w:instrText xml:space="preserve"> PAGE </w:instrText>
    </w:r>
    <w:r w:rsidR="00394FC2">
      <w:rPr>
        <w:rStyle w:val="PageNumber"/>
        <w:i/>
        <w:iCs/>
        <w:u w:val="single"/>
      </w:rPr>
      <w:fldChar w:fldCharType="separate"/>
    </w:r>
    <w:r>
      <w:rPr>
        <w:rStyle w:val="PageNumber"/>
        <w:i/>
        <w:iCs/>
        <w:u w:val="single"/>
      </w:rPr>
      <w:t>3</w:t>
    </w:r>
    <w:r w:rsidR="00394FC2">
      <w:rPr>
        <w:rStyle w:val="PageNumber"/>
        <w:i/>
        <w:iCs/>
        <w:u w:val="single"/>
      </w:rPr>
      <w:fldChar w:fldCharType="end"/>
    </w:r>
    <w:r w:rsidRPr="00246D6E">
      <w:rPr>
        <w:rStyle w:val="PageNumber"/>
        <w:i/>
        <w:iCs/>
        <w:u w:val="single"/>
      </w:rPr>
      <w:t xml:space="preserve">of </w:t>
    </w:r>
    <w:r w:rsidR="00394FC2" w:rsidRPr="00246D6E">
      <w:rPr>
        <w:rStyle w:val="PageNumber"/>
        <w:i/>
        <w:u w:val="single"/>
      </w:rPr>
      <w:fldChar w:fldCharType="begin"/>
    </w:r>
    <w:r w:rsidRPr="00246D6E">
      <w:rPr>
        <w:rStyle w:val="PageNumber"/>
        <w:i/>
        <w:u w:val="single"/>
      </w:rPr>
      <w:instrText xml:space="preserve"> NUMPAGES </w:instrText>
    </w:r>
    <w:r w:rsidR="00394FC2" w:rsidRPr="00246D6E">
      <w:rPr>
        <w:rStyle w:val="PageNumber"/>
        <w:i/>
        <w:u w:val="single"/>
      </w:rPr>
      <w:fldChar w:fldCharType="separate"/>
    </w:r>
    <w:r>
      <w:rPr>
        <w:rStyle w:val="PageNumber"/>
        <w:i/>
        <w:u w:val="single"/>
      </w:rPr>
      <w:t>6</w:t>
    </w:r>
    <w:r w:rsidR="00394FC2" w:rsidRPr="00246D6E">
      <w:rPr>
        <w:rStyle w:val="PageNumber"/>
        <w:i/>
        <w:u w:val="single"/>
      </w:rPr>
      <w:fldChar w:fldCharType="end"/>
    </w:r>
  </w:p>
  <w:p w:rsidR="00E45705" w:rsidRDefault="00E457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394FC2">
      <w:rPr>
        <w:rStyle w:val="PageNumber"/>
        <w:i/>
        <w:iCs/>
        <w:u w:val="single"/>
      </w:rPr>
      <w:fldChar w:fldCharType="begin"/>
    </w:r>
    <w:r>
      <w:rPr>
        <w:rStyle w:val="PageNumber"/>
        <w:i/>
        <w:iCs/>
        <w:u w:val="single"/>
      </w:rPr>
      <w:instrText xml:space="preserve"> PAGE </w:instrText>
    </w:r>
    <w:r w:rsidR="00394FC2">
      <w:rPr>
        <w:rStyle w:val="PageNumber"/>
        <w:i/>
        <w:iCs/>
        <w:u w:val="single"/>
      </w:rPr>
      <w:fldChar w:fldCharType="separate"/>
    </w:r>
    <w:r w:rsidR="00772E40">
      <w:rPr>
        <w:rStyle w:val="PageNumber"/>
        <w:i/>
        <w:iCs/>
        <w:noProof/>
        <w:u w:val="single"/>
      </w:rPr>
      <w:t>4</w:t>
    </w:r>
    <w:r w:rsidR="00394FC2">
      <w:rPr>
        <w:rStyle w:val="PageNumber"/>
        <w:i/>
        <w:iCs/>
        <w:u w:val="single"/>
      </w:rPr>
      <w:fldChar w:fldCharType="end"/>
    </w:r>
    <w:r w:rsidRPr="00246D6E">
      <w:rPr>
        <w:rStyle w:val="PageNumber"/>
        <w:i/>
        <w:iCs/>
        <w:u w:val="single"/>
      </w:rPr>
      <w:t xml:space="preserve">of </w:t>
    </w:r>
    <w:r w:rsidR="00394FC2" w:rsidRPr="00246D6E">
      <w:rPr>
        <w:rStyle w:val="PageNumber"/>
        <w:i/>
        <w:u w:val="single"/>
      </w:rPr>
      <w:fldChar w:fldCharType="begin"/>
    </w:r>
    <w:r w:rsidRPr="00246D6E">
      <w:rPr>
        <w:rStyle w:val="PageNumber"/>
        <w:i/>
        <w:u w:val="single"/>
      </w:rPr>
      <w:instrText xml:space="preserve"> NUMPAGES </w:instrText>
    </w:r>
    <w:r w:rsidR="00394FC2" w:rsidRPr="00246D6E">
      <w:rPr>
        <w:rStyle w:val="PageNumber"/>
        <w:i/>
        <w:u w:val="single"/>
      </w:rPr>
      <w:fldChar w:fldCharType="separate"/>
    </w:r>
    <w:r w:rsidR="00772E40">
      <w:rPr>
        <w:rStyle w:val="PageNumber"/>
        <w:i/>
        <w:noProof/>
        <w:u w:val="single"/>
      </w:rPr>
      <w:t>8</w:t>
    </w:r>
    <w:r w:rsidR="00394FC2" w:rsidRPr="00246D6E">
      <w:rPr>
        <w:rStyle w:val="PageNumber"/>
        <w:i/>
        <w:u w:val="single"/>
      </w:rPr>
      <w:fldChar w:fldCharType="end"/>
    </w:r>
  </w:p>
  <w:p w:rsidR="00E45705" w:rsidRPr="00E45705" w:rsidRDefault="00E45705"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5058"/>
  </w:hdrShapeDefaults>
  <w:footnotePr>
    <w:footnote w:id="0"/>
    <w:footnote w:id="1"/>
  </w:footnotePr>
  <w:endnotePr>
    <w:endnote w:id="0"/>
    <w:endnote w:id="1"/>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4FC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76E1"/>
    <w:rsid w:val="00534BB7"/>
    <w:rsid w:val="00535F64"/>
    <w:rsid w:val="00535F8B"/>
    <w:rsid w:val="00537BEA"/>
    <w:rsid w:val="0054057D"/>
    <w:rsid w:val="00541D53"/>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807"/>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2E40"/>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224C"/>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57624"/>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44273"/>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6E1"/>
  </w:style>
  <w:style w:type="paragraph" w:styleId="Heading1">
    <w:name w:val="heading 1"/>
    <w:basedOn w:val="Normal"/>
    <w:next w:val="Normal"/>
    <w:qFormat/>
    <w:rsid w:val="005276E1"/>
    <w:pPr>
      <w:keepNext/>
      <w:spacing w:before="120"/>
      <w:jc w:val="center"/>
      <w:outlineLvl w:val="0"/>
    </w:pPr>
    <w:rPr>
      <w:b/>
      <w:sz w:val="22"/>
      <w:u w:val="single"/>
    </w:rPr>
  </w:style>
  <w:style w:type="paragraph" w:styleId="Heading2">
    <w:name w:val="heading 2"/>
    <w:basedOn w:val="Normal"/>
    <w:next w:val="Normal"/>
    <w:qFormat/>
    <w:rsid w:val="005276E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5276E1"/>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5276E1"/>
    <w:pPr>
      <w:keepNext/>
      <w:ind w:left="-18"/>
      <w:jc w:val="center"/>
      <w:outlineLvl w:val="3"/>
    </w:pPr>
    <w:rPr>
      <w:rFonts w:ascii="Footlight MT Light" w:hAnsi="Footlight MT Light"/>
      <w:b/>
    </w:rPr>
  </w:style>
  <w:style w:type="paragraph" w:styleId="Heading5">
    <w:name w:val="heading 5"/>
    <w:basedOn w:val="Normal"/>
    <w:next w:val="Normal"/>
    <w:qFormat/>
    <w:rsid w:val="005276E1"/>
    <w:pPr>
      <w:keepNext/>
      <w:jc w:val="center"/>
      <w:outlineLvl w:val="4"/>
    </w:pPr>
    <w:rPr>
      <w:rFonts w:ascii="Footlight MT Light" w:hAnsi="Footlight MT Light"/>
      <w:b/>
      <w:sz w:val="22"/>
    </w:rPr>
  </w:style>
  <w:style w:type="paragraph" w:styleId="Heading6">
    <w:name w:val="heading 6"/>
    <w:basedOn w:val="Normal"/>
    <w:next w:val="Normal"/>
    <w:qFormat/>
    <w:rsid w:val="005276E1"/>
    <w:pPr>
      <w:keepNext/>
      <w:jc w:val="right"/>
      <w:outlineLvl w:val="5"/>
    </w:pPr>
    <w:rPr>
      <w:rFonts w:ascii="Footlight MT Light" w:hAnsi="Footlight MT Light"/>
      <w:sz w:val="24"/>
    </w:rPr>
  </w:style>
  <w:style w:type="paragraph" w:styleId="Heading7">
    <w:name w:val="heading 7"/>
    <w:basedOn w:val="Normal"/>
    <w:next w:val="Normal"/>
    <w:qFormat/>
    <w:rsid w:val="005276E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276E1"/>
    <w:pPr>
      <w:keepNext/>
      <w:spacing w:line="200" w:lineRule="exact"/>
      <w:outlineLvl w:val="7"/>
    </w:pPr>
    <w:rPr>
      <w:rFonts w:ascii="Comic Sans MS" w:hAnsi="Comic Sans MS"/>
      <w:b/>
      <w:bCs/>
      <w:sz w:val="18"/>
    </w:rPr>
  </w:style>
  <w:style w:type="paragraph" w:styleId="Heading9">
    <w:name w:val="heading 9"/>
    <w:basedOn w:val="Normal"/>
    <w:next w:val="Normal"/>
    <w:qFormat/>
    <w:rsid w:val="005276E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76E1"/>
    <w:pPr>
      <w:tabs>
        <w:tab w:val="center" w:pos="4320"/>
        <w:tab w:val="right" w:pos="8640"/>
      </w:tabs>
    </w:pPr>
  </w:style>
  <w:style w:type="paragraph" w:styleId="Footer">
    <w:name w:val="footer"/>
    <w:basedOn w:val="Normal"/>
    <w:rsid w:val="005276E1"/>
    <w:pPr>
      <w:tabs>
        <w:tab w:val="center" w:pos="4320"/>
        <w:tab w:val="right" w:pos="8640"/>
      </w:tabs>
    </w:pPr>
  </w:style>
  <w:style w:type="character" w:styleId="PageNumber">
    <w:name w:val="page number"/>
    <w:basedOn w:val="DefaultParagraphFont"/>
    <w:rsid w:val="005276E1"/>
  </w:style>
  <w:style w:type="paragraph" w:styleId="Caption">
    <w:name w:val="caption"/>
    <w:basedOn w:val="Normal"/>
    <w:next w:val="Normal"/>
    <w:qFormat/>
    <w:rsid w:val="005276E1"/>
    <w:pPr>
      <w:spacing w:before="120"/>
      <w:jc w:val="center"/>
    </w:pPr>
    <w:rPr>
      <w:b/>
      <w:sz w:val="22"/>
      <w:u w:val="single"/>
    </w:rPr>
  </w:style>
  <w:style w:type="paragraph" w:styleId="Title">
    <w:name w:val="Title"/>
    <w:basedOn w:val="Normal"/>
    <w:qFormat/>
    <w:rsid w:val="005276E1"/>
    <w:pPr>
      <w:spacing w:after="120"/>
      <w:jc w:val="center"/>
    </w:pPr>
    <w:rPr>
      <w:b/>
      <w:u w:val="single"/>
    </w:rPr>
  </w:style>
  <w:style w:type="paragraph" w:styleId="BodyText">
    <w:name w:val="Body Text"/>
    <w:basedOn w:val="Normal"/>
    <w:rsid w:val="005276E1"/>
    <w:pPr>
      <w:spacing w:before="120"/>
      <w:jc w:val="both"/>
    </w:pPr>
    <w:rPr>
      <w:rFonts w:ascii="Footlight MT Light" w:hAnsi="Footlight MT Light"/>
      <w:sz w:val="22"/>
    </w:rPr>
  </w:style>
  <w:style w:type="paragraph" w:styleId="BodyText2">
    <w:name w:val="Body Text 2"/>
    <w:basedOn w:val="Normal"/>
    <w:rsid w:val="005276E1"/>
    <w:pPr>
      <w:spacing w:after="120"/>
    </w:pPr>
    <w:rPr>
      <w:rFonts w:ascii="Footlight MT Light" w:hAnsi="Footlight MT Light"/>
      <w:sz w:val="22"/>
    </w:rPr>
  </w:style>
  <w:style w:type="paragraph" w:styleId="BodyText3">
    <w:name w:val="Body Text 3"/>
    <w:basedOn w:val="Normal"/>
    <w:rsid w:val="005276E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276E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276E1"/>
    <w:pPr>
      <w:ind w:firstLine="720"/>
    </w:pPr>
    <w:rPr>
      <w:snapToGrid w:val="0"/>
      <w:u w:val="single"/>
    </w:rPr>
  </w:style>
  <w:style w:type="paragraph" w:styleId="BodyTextIndent3">
    <w:name w:val="Body Text Indent 3"/>
    <w:basedOn w:val="Normal"/>
    <w:rsid w:val="005276E1"/>
    <w:pPr>
      <w:ind w:left="360" w:hanging="360"/>
    </w:pPr>
    <w:rPr>
      <w:snapToGrid w:val="0"/>
      <w:u w:val="single"/>
    </w:rPr>
  </w:style>
  <w:style w:type="paragraph" w:styleId="BlockText">
    <w:name w:val="Block Text"/>
    <w:basedOn w:val="Normal"/>
    <w:rsid w:val="005276E1"/>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User</cp:lastModifiedBy>
  <cp:revision>3</cp:revision>
  <cp:lastPrinted>2018-12-11T18:58:00Z</cp:lastPrinted>
  <dcterms:created xsi:type="dcterms:W3CDTF">2020-07-03T15:21:00Z</dcterms:created>
  <dcterms:modified xsi:type="dcterms:W3CDTF">2020-10-19T17:02:00Z</dcterms:modified>
</cp:coreProperties>
</file>