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1C22C7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C0AC8">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CBD67A6" w:rsidR="00BC6327" w:rsidRPr="00412B2F" w:rsidRDefault="00207D7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Warnock Food Products #2 System #2000507</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543446F" w:rsidR="00BC6327" w:rsidRPr="00412B2F" w:rsidRDefault="00207D7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05/</w:t>
            </w:r>
            <w:r w:rsidR="00CC0AC8">
              <w:rPr>
                <w:sz w:val="21"/>
                <w:szCs w:val="21"/>
              </w:rPr>
              <w:t>03</w:t>
            </w:r>
            <w:r>
              <w:rPr>
                <w:sz w:val="21"/>
                <w:szCs w:val="21"/>
              </w:rPr>
              <w:t>/2020</w:t>
            </w:r>
          </w:p>
        </w:tc>
      </w:tr>
    </w:tbl>
    <w:p w14:paraId="14AA4D8D" w14:textId="2042A47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207D7C">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44394DE6"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207D7C" w:rsidRPr="00207D7C">
        <w:rPr>
          <w:b/>
          <w:i/>
          <w:iCs/>
          <w:sz w:val="21"/>
          <w:szCs w:val="21"/>
        </w:rPr>
        <w:t>Warnock Food Products #2 System #2000507</w:t>
      </w:r>
      <w:r w:rsidRPr="00207D7C">
        <w:rPr>
          <w:b/>
          <w:bCs/>
          <w:i/>
          <w:iCs/>
          <w:sz w:val="21"/>
          <w:szCs w:val="21"/>
          <w:lang w:val="es-MX"/>
        </w:rPr>
        <w:t xml:space="preserve"> </w:t>
      </w:r>
      <w:r w:rsidR="00A60398">
        <w:rPr>
          <w:b/>
          <w:bCs/>
          <w:i/>
          <w:iCs/>
          <w:sz w:val="21"/>
          <w:szCs w:val="21"/>
          <w:lang w:val="es-MX"/>
        </w:rPr>
        <w:t xml:space="preserve">20237 Masa St. Madera CA 93638 </w:t>
      </w:r>
      <w:r w:rsidRPr="00442D66">
        <w:rPr>
          <w:b/>
          <w:bCs/>
          <w:sz w:val="21"/>
          <w:szCs w:val="21"/>
          <w:lang w:val="es-MX"/>
        </w:rPr>
        <w:t xml:space="preserve">a </w:t>
      </w:r>
      <w:r w:rsidR="00A60398" w:rsidRPr="00A60398">
        <w:rPr>
          <w:b/>
          <w:bCs/>
          <w:i/>
          <w:sz w:val="21"/>
          <w:szCs w:val="21"/>
          <w:lang w:val="es-MX"/>
        </w:rPr>
        <w:t>559-661484</w:t>
      </w:r>
      <w:r w:rsidRPr="00442D66">
        <w:rPr>
          <w:b/>
          <w:bCs/>
          <w:sz w:val="21"/>
          <w:szCs w:val="21"/>
          <w:lang w:val="es-MX"/>
        </w:rPr>
        <w:t xml:space="preserve"> para asistirlo en español.</w:t>
      </w:r>
    </w:p>
    <w:p w14:paraId="5611110B" w14:textId="77777777" w:rsidR="00A60398"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A60398" w:rsidRPr="00207D7C">
        <w:rPr>
          <w:b/>
          <w:i/>
          <w:iCs/>
          <w:sz w:val="21"/>
          <w:szCs w:val="21"/>
        </w:rPr>
        <w:t>Warnock Food Products #2 System #2000507</w:t>
      </w:r>
      <w:r w:rsidR="00A60398">
        <w:rPr>
          <w:b/>
          <w:i/>
          <w:iCs/>
          <w:sz w:val="21"/>
          <w:szCs w:val="21"/>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A60398">
        <w:rPr>
          <w:rFonts w:ascii="PMingLiU" w:eastAsia="PMingLiU" w:hAnsi="PMingLiU" w:cs="PMingLiU"/>
          <w:b/>
          <w:bCs/>
          <w:sz w:val="21"/>
          <w:szCs w:val="21"/>
          <w:lang w:val="es-ES"/>
        </w:rPr>
        <w:t xml:space="preserve"> </w:t>
      </w:r>
      <w:r w:rsidR="00A60398">
        <w:rPr>
          <w:b/>
          <w:bCs/>
          <w:i/>
          <w:iCs/>
          <w:sz w:val="21"/>
          <w:szCs w:val="21"/>
          <w:lang w:val="es-MX"/>
        </w:rPr>
        <w:t xml:space="preserve">20237 Masa St. Madera CA 93638 </w:t>
      </w:r>
      <w:r w:rsidR="00A60398" w:rsidRPr="00442D66">
        <w:rPr>
          <w:b/>
          <w:bCs/>
          <w:sz w:val="21"/>
          <w:szCs w:val="21"/>
          <w:lang w:val="es-MX"/>
        </w:rPr>
        <w:t xml:space="preserve">a </w:t>
      </w:r>
      <w:r w:rsidR="00A60398" w:rsidRPr="00A60398">
        <w:rPr>
          <w:b/>
          <w:bCs/>
          <w:i/>
          <w:sz w:val="21"/>
          <w:szCs w:val="21"/>
          <w:lang w:val="es-MX"/>
        </w:rPr>
        <w:t>559-661484</w:t>
      </w:r>
      <w:r w:rsidR="00A60398" w:rsidRPr="00442D66">
        <w:rPr>
          <w:b/>
          <w:bCs/>
          <w:sz w:val="21"/>
          <w:szCs w:val="21"/>
          <w:lang w:val="es-MX"/>
        </w:rPr>
        <w:t xml:space="preserve"> </w:t>
      </w:r>
    </w:p>
    <w:p w14:paraId="7D3636E6" w14:textId="50E6E9C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60398" w:rsidRPr="00207D7C">
        <w:rPr>
          <w:b/>
          <w:i/>
          <w:iCs/>
          <w:sz w:val="21"/>
          <w:szCs w:val="21"/>
        </w:rPr>
        <w:t>Warnock Food Products #2 System #2000507</w:t>
      </w:r>
      <w:r w:rsidR="00A60398" w:rsidRPr="00207D7C">
        <w:rPr>
          <w:b/>
          <w:bCs/>
          <w:i/>
          <w:iCs/>
          <w:sz w:val="21"/>
          <w:szCs w:val="21"/>
          <w:lang w:val="es-MX"/>
        </w:rPr>
        <w:t xml:space="preserve"> </w:t>
      </w:r>
      <w:r w:rsidR="00A60398">
        <w:rPr>
          <w:b/>
          <w:bCs/>
          <w:i/>
          <w:iCs/>
          <w:sz w:val="21"/>
          <w:szCs w:val="21"/>
          <w:lang w:val="es-MX"/>
        </w:rPr>
        <w:t xml:space="preserve">20237 Masa St. Madera CA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60398" w:rsidRPr="00A60398">
        <w:rPr>
          <w:b/>
          <w:bCs/>
          <w:i/>
          <w:sz w:val="21"/>
          <w:szCs w:val="21"/>
          <w:lang w:val="es-MX"/>
        </w:rPr>
        <w:t>559-661484</w:t>
      </w:r>
      <w:r w:rsidR="00A60398" w:rsidRPr="00442D66">
        <w:rPr>
          <w:b/>
          <w:bCs/>
          <w:sz w:val="21"/>
          <w:szCs w:val="21"/>
          <w:lang w:val="es-MX"/>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1147084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00A60398">
        <w:rPr>
          <w:b/>
          <w:bCs/>
          <w:sz w:val="21"/>
          <w:szCs w:val="21"/>
          <w:lang w:val="es-ES"/>
        </w:rPr>
        <w:t xml:space="preserve"> </w:t>
      </w:r>
      <w:r w:rsidR="00A60398" w:rsidRPr="00207D7C">
        <w:rPr>
          <w:b/>
          <w:i/>
          <w:iCs/>
          <w:sz w:val="21"/>
          <w:szCs w:val="21"/>
        </w:rPr>
        <w:t>Warnock Food Products #2 System #2000507</w:t>
      </w:r>
      <w:r w:rsidR="00A60398" w:rsidRPr="00207D7C">
        <w:rPr>
          <w:b/>
          <w:bCs/>
          <w:i/>
          <w:iCs/>
          <w:sz w:val="21"/>
          <w:szCs w:val="21"/>
          <w:lang w:val="es-MX"/>
        </w:rPr>
        <w:t xml:space="preserve"> </w:t>
      </w:r>
      <w:r w:rsidR="00A60398">
        <w:rPr>
          <w:b/>
          <w:bCs/>
          <w:i/>
          <w:iCs/>
          <w:sz w:val="21"/>
          <w:szCs w:val="21"/>
          <w:lang w:val="es-MX"/>
        </w:rPr>
        <w:t>20237 Masa St. Madera CA</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2EA41651"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A60398" w:rsidRPr="00207D7C">
        <w:rPr>
          <w:b/>
          <w:i/>
          <w:iCs/>
          <w:sz w:val="21"/>
          <w:szCs w:val="21"/>
        </w:rPr>
        <w:t>Warnock Food Products #2 System #2000507</w:t>
      </w:r>
      <w:r w:rsidR="00A60398" w:rsidRPr="00207D7C">
        <w:rPr>
          <w:b/>
          <w:bCs/>
          <w:i/>
          <w:iCs/>
          <w:sz w:val="21"/>
          <w:szCs w:val="21"/>
          <w:lang w:val="es-MX"/>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A60398">
        <w:rPr>
          <w:b/>
          <w:bCs/>
          <w:i/>
          <w:iCs/>
          <w:sz w:val="21"/>
          <w:szCs w:val="21"/>
          <w:lang w:val="es-MX"/>
        </w:rPr>
        <w:t>20237 Masa St. Madera CA</w:t>
      </w:r>
      <w:r w:rsidR="00A60398" w:rsidRPr="00412B2F">
        <w:rPr>
          <w:b/>
          <w:bCs/>
          <w:sz w:val="21"/>
          <w:szCs w:val="21"/>
          <w:lang w:val="es-ES"/>
        </w:rPr>
        <w:t xml:space="preserve"> </w:t>
      </w:r>
      <w:r w:rsidR="00A60398">
        <w:rPr>
          <w:b/>
          <w:bCs/>
          <w:sz w:val="21"/>
          <w:szCs w:val="21"/>
          <w:lang w:val="es-ES"/>
        </w:rPr>
        <w:t xml:space="preserve"> 559-6614845</w:t>
      </w:r>
      <w:r w:rsidRPr="00412B2F">
        <w:rPr>
          <w:b/>
          <w:bCs/>
          <w:sz w:val="21"/>
          <w:szCs w:val="21"/>
          <w:lang w:val="es-ES"/>
        </w:rPr>
        <w:t xml:space="preserve">rau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8C59F78" w:rsidR="00BC6327" w:rsidRPr="00412B2F" w:rsidRDefault="001F58E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2 Ground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894EFE9" w:rsidR="00BC6327" w:rsidRPr="00412B2F" w:rsidRDefault="001F58E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2000507-001 (Source Main Well) &amp; 2000507-002 (2015 Well 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135F301" w:rsidR="00BC6327" w:rsidRPr="00412B2F" w:rsidRDefault="001F58E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Gonzalez Gomez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1963BE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1F58EA">
              <w:rPr>
                <w:sz w:val="21"/>
                <w:szCs w:val="21"/>
              </w:rPr>
              <w:t>559</w:t>
            </w:r>
            <w:r w:rsidRPr="008E4080">
              <w:rPr>
                <w:sz w:val="21"/>
                <w:szCs w:val="21"/>
              </w:rPr>
              <w:t>)</w:t>
            </w:r>
            <w:r w:rsidR="001F58EA">
              <w:rPr>
                <w:sz w:val="21"/>
                <w:szCs w:val="21"/>
              </w:rPr>
              <w:t xml:space="preserve"> 661-4845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578B35E"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r w:rsidR="00041826" w:rsidRPr="0012764D">
        <w:rPr>
          <w:sz w:val="22"/>
          <w:szCs w:val="22"/>
        </w:rPr>
        <w:t>number</w:t>
      </w:r>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
        <w:gridCol w:w="2141"/>
        <w:gridCol w:w="8"/>
        <w:gridCol w:w="802"/>
        <w:gridCol w:w="451"/>
        <w:gridCol w:w="540"/>
        <w:gridCol w:w="810"/>
        <w:gridCol w:w="180"/>
        <w:gridCol w:w="1080"/>
        <w:gridCol w:w="677"/>
        <w:gridCol w:w="677"/>
        <w:gridCol w:w="86"/>
        <w:gridCol w:w="1174"/>
        <w:gridCol w:w="2070"/>
        <w:gridCol w:w="104"/>
      </w:tblGrid>
      <w:tr w:rsidR="00BC6327" w:rsidRPr="00A44246" w14:paraId="1369AC78" w14:textId="77777777" w:rsidTr="00CC0AC8">
        <w:trPr>
          <w:gridAfter w:val="1"/>
          <w:wAfter w:w="104" w:type="dxa"/>
          <w:cantSplit/>
          <w:jc w:val="center"/>
        </w:trPr>
        <w:tc>
          <w:tcPr>
            <w:tcW w:w="10796" w:type="dxa"/>
            <w:gridSpan w:val="14"/>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C0AC8">
        <w:trPr>
          <w:gridAfter w:val="1"/>
          <w:wAfter w:w="104" w:type="dxa"/>
          <w:cantSplit/>
          <w:jc w:val="center"/>
        </w:trPr>
        <w:tc>
          <w:tcPr>
            <w:tcW w:w="2249" w:type="dxa"/>
            <w:gridSpan w:val="3"/>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CC0AC8">
        <w:trPr>
          <w:gridAfter w:val="1"/>
          <w:wAfter w:w="104" w:type="dxa"/>
          <w:cantSplit/>
          <w:jc w:val="center"/>
        </w:trPr>
        <w:tc>
          <w:tcPr>
            <w:tcW w:w="2249" w:type="dxa"/>
            <w:gridSpan w:val="3"/>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3FCBBA2" w:rsidR="00BC6327" w:rsidRPr="00F41F91" w:rsidRDefault="003F68A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CC0AC8">
        <w:trPr>
          <w:gridAfter w:val="1"/>
          <w:wAfter w:w="104" w:type="dxa"/>
          <w:cantSplit/>
          <w:jc w:val="center"/>
        </w:trPr>
        <w:tc>
          <w:tcPr>
            <w:tcW w:w="2249" w:type="dxa"/>
            <w:gridSpan w:val="3"/>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11B6EB81" w:rsidR="008F7660" w:rsidRPr="00F41F91" w:rsidRDefault="003F68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CC0AC8">
        <w:trPr>
          <w:gridAfter w:val="1"/>
          <w:wAfter w:w="104" w:type="dxa"/>
          <w:cantSplit/>
          <w:jc w:val="center"/>
        </w:trPr>
        <w:tc>
          <w:tcPr>
            <w:tcW w:w="2249" w:type="dxa"/>
            <w:gridSpan w:val="3"/>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1756970" w:rsidR="005540D9" w:rsidRPr="00F41F91" w:rsidRDefault="003F68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C0AC8">
        <w:trPr>
          <w:gridAfter w:val="1"/>
          <w:wAfter w:w="104" w:type="dxa"/>
          <w:cantSplit/>
          <w:jc w:val="center"/>
        </w:trPr>
        <w:tc>
          <w:tcPr>
            <w:tcW w:w="10796" w:type="dxa"/>
            <w:gridSpan w:val="14"/>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CC0AC8">
        <w:trPr>
          <w:gridAfter w:val="1"/>
          <w:wAfter w:w="104" w:type="dxa"/>
          <w:jc w:val="center"/>
        </w:trPr>
        <w:tc>
          <w:tcPr>
            <w:tcW w:w="10796" w:type="dxa"/>
            <w:gridSpan w:val="14"/>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CC0AC8">
        <w:trPr>
          <w:gridAfter w:val="1"/>
          <w:wAfter w:w="104" w:type="dxa"/>
          <w:jc w:val="center"/>
        </w:trPr>
        <w:tc>
          <w:tcPr>
            <w:tcW w:w="2241" w:type="dxa"/>
            <w:gridSpan w:val="2"/>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CC0AC8">
        <w:trPr>
          <w:gridAfter w:val="1"/>
          <w:wAfter w:w="104" w:type="dxa"/>
          <w:jc w:val="center"/>
        </w:trPr>
        <w:tc>
          <w:tcPr>
            <w:tcW w:w="2241" w:type="dxa"/>
            <w:gridSpan w:val="2"/>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vAlign w:val="center"/>
          </w:tcPr>
          <w:p w14:paraId="74C46DDB" w14:textId="311BD354" w:rsidR="00B44817" w:rsidRPr="00F41F91" w:rsidRDefault="003F68A3" w:rsidP="00D057C3">
            <w:pPr>
              <w:jc w:val="center"/>
              <w:rPr>
                <w:sz w:val="18"/>
              </w:rPr>
            </w:pPr>
            <w:r>
              <w:rPr>
                <w:sz w:val="18"/>
              </w:rPr>
              <w:t>09/18/19</w:t>
            </w:r>
          </w:p>
        </w:tc>
        <w:tc>
          <w:tcPr>
            <w:tcW w:w="991" w:type="dxa"/>
            <w:gridSpan w:val="2"/>
            <w:tcBorders>
              <w:top w:val="nil"/>
            </w:tcBorders>
            <w:vAlign w:val="center"/>
          </w:tcPr>
          <w:p w14:paraId="2EB76238" w14:textId="47F8A949" w:rsidR="00B44817" w:rsidRPr="00F41F91" w:rsidRDefault="00CC0AC8" w:rsidP="00D057C3">
            <w:pPr>
              <w:jc w:val="center"/>
              <w:rPr>
                <w:sz w:val="18"/>
              </w:rPr>
            </w:pPr>
            <w:r>
              <w:rPr>
                <w:sz w:val="18"/>
              </w:rPr>
              <w:t>10</w:t>
            </w:r>
          </w:p>
        </w:tc>
        <w:tc>
          <w:tcPr>
            <w:tcW w:w="990" w:type="dxa"/>
            <w:gridSpan w:val="2"/>
            <w:tcBorders>
              <w:top w:val="nil"/>
              <w:bottom w:val="nil"/>
            </w:tcBorders>
            <w:vAlign w:val="center"/>
          </w:tcPr>
          <w:p w14:paraId="4C3FDB54" w14:textId="35904D94" w:rsidR="00B44817" w:rsidRPr="00F41F91" w:rsidRDefault="00CC0AC8" w:rsidP="00D057C3">
            <w:pPr>
              <w:jc w:val="center"/>
              <w:rPr>
                <w:sz w:val="18"/>
              </w:rPr>
            </w:pPr>
            <w:r>
              <w:rPr>
                <w:sz w:val="18"/>
              </w:rPr>
              <w:t>0</w:t>
            </w:r>
          </w:p>
        </w:tc>
        <w:tc>
          <w:tcPr>
            <w:tcW w:w="1080" w:type="dxa"/>
            <w:tcBorders>
              <w:top w:val="nil"/>
              <w:bottom w:val="nil"/>
            </w:tcBorders>
            <w:vAlign w:val="center"/>
          </w:tcPr>
          <w:p w14:paraId="48CE0F50" w14:textId="0CA476AA" w:rsidR="00B44817" w:rsidRPr="00F41F91" w:rsidRDefault="003F68A3" w:rsidP="00D057C3">
            <w:pPr>
              <w:jc w:val="center"/>
              <w:rPr>
                <w:sz w:val="18"/>
              </w:rPr>
            </w:pPr>
            <w:r>
              <w:rPr>
                <w:sz w:val="18"/>
              </w:rPr>
              <w:t>1</w:t>
            </w:r>
          </w:p>
        </w:tc>
        <w:tc>
          <w:tcPr>
            <w:tcW w:w="677" w:type="dxa"/>
            <w:tcBorders>
              <w:top w:val="nil"/>
              <w:bottom w:val="nil"/>
            </w:tcBorders>
            <w:vAlign w:val="center"/>
          </w:tcPr>
          <w:p w14:paraId="242E5C30" w14:textId="3C840ABD" w:rsidR="00B44817" w:rsidRPr="00F41F91" w:rsidRDefault="003F68A3" w:rsidP="00D057C3">
            <w:pPr>
              <w:jc w:val="center"/>
              <w:rPr>
                <w:sz w:val="18"/>
              </w:rPr>
            </w:pPr>
            <w:r>
              <w:rPr>
                <w:sz w:val="18"/>
              </w:rPr>
              <w:t>.015</w:t>
            </w:r>
          </w:p>
        </w:tc>
        <w:tc>
          <w:tcPr>
            <w:tcW w:w="677" w:type="dxa"/>
            <w:tcBorders>
              <w:top w:val="nil"/>
              <w:bottom w:val="nil"/>
            </w:tcBorders>
            <w:vAlign w:val="center"/>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vAlign w:val="center"/>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041826" w:rsidRPr="001F3468" w14:paraId="6242C308" w14:textId="77777777" w:rsidTr="00CC0AC8">
        <w:trPr>
          <w:gridAfter w:val="1"/>
          <w:wAfter w:w="104" w:type="dxa"/>
          <w:jc w:val="center"/>
        </w:trPr>
        <w:tc>
          <w:tcPr>
            <w:tcW w:w="2241" w:type="dxa"/>
            <w:gridSpan w:val="2"/>
            <w:tcBorders>
              <w:left w:val="single" w:sz="6" w:space="0" w:color="auto"/>
              <w:bottom w:val="single" w:sz="18" w:space="0" w:color="auto"/>
            </w:tcBorders>
          </w:tcPr>
          <w:p w14:paraId="3DF5C908" w14:textId="6C824D4C" w:rsidR="00041826" w:rsidRPr="00F41F91" w:rsidRDefault="00041826" w:rsidP="00041826">
            <w:pPr>
              <w:rPr>
                <w:sz w:val="18"/>
              </w:rPr>
            </w:pPr>
            <w:r w:rsidRPr="00F41F91">
              <w:rPr>
                <w:sz w:val="18"/>
              </w:rPr>
              <w:t>Copper (ppm)</w:t>
            </w:r>
          </w:p>
        </w:tc>
        <w:tc>
          <w:tcPr>
            <w:tcW w:w="810" w:type="dxa"/>
            <w:gridSpan w:val="2"/>
            <w:tcBorders>
              <w:bottom w:val="single" w:sz="18" w:space="0" w:color="auto"/>
            </w:tcBorders>
            <w:vAlign w:val="center"/>
          </w:tcPr>
          <w:p w14:paraId="192E15A5" w14:textId="69828DA6" w:rsidR="00041826" w:rsidRPr="00F41F91" w:rsidRDefault="00041826" w:rsidP="00041826">
            <w:pPr>
              <w:jc w:val="center"/>
              <w:rPr>
                <w:sz w:val="18"/>
              </w:rPr>
            </w:pPr>
            <w:r>
              <w:rPr>
                <w:sz w:val="18"/>
              </w:rPr>
              <w:t>9/18/19</w:t>
            </w:r>
          </w:p>
        </w:tc>
        <w:tc>
          <w:tcPr>
            <w:tcW w:w="991" w:type="dxa"/>
            <w:gridSpan w:val="2"/>
            <w:tcBorders>
              <w:bottom w:val="single" w:sz="18" w:space="0" w:color="auto"/>
            </w:tcBorders>
            <w:vAlign w:val="center"/>
          </w:tcPr>
          <w:p w14:paraId="18011756" w14:textId="463AB61A" w:rsidR="00041826" w:rsidRPr="00F41F91" w:rsidRDefault="00CC0AC8" w:rsidP="00041826">
            <w:pPr>
              <w:jc w:val="center"/>
              <w:rPr>
                <w:sz w:val="18"/>
              </w:rPr>
            </w:pPr>
            <w:r>
              <w:rPr>
                <w:sz w:val="18"/>
              </w:rPr>
              <w:t>10</w:t>
            </w:r>
          </w:p>
        </w:tc>
        <w:tc>
          <w:tcPr>
            <w:tcW w:w="990" w:type="dxa"/>
            <w:gridSpan w:val="2"/>
            <w:tcBorders>
              <w:bottom w:val="single" w:sz="18" w:space="0" w:color="auto"/>
            </w:tcBorders>
            <w:vAlign w:val="center"/>
          </w:tcPr>
          <w:p w14:paraId="7CE90126" w14:textId="35A5DAFD" w:rsidR="00041826" w:rsidRPr="00F41F91" w:rsidRDefault="00CC0AC8" w:rsidP="00041826">
            <w:pPr>
              <w:jc w:val="center"/>
              <w:rPr>
                <w:sz w:val="18"/>
              </w:rPr>
            </w:pPr>
            <w:r>
              <w:rPr>
                <w:sz w:val="18"/>
              </w:rPr>
              <w:t>0.017</w:t>
            </w:r>
          </w:p>
        </w:tc>
        <w:tc>
          <w:tcPr>
            <w:tcW w:w="1080" w:type="dxa"/>
            <w:tcBorders>
              <w:bottom w:val="single" w:sz="18" w:space="0" w:color="auto"/>
            </w:tcBorders>
            <w:vAlign w:val="center"/>
          </w:tcPr>
          <w:p w14:paraId="11DE16E1" w14:textId="123EA89D" w:rsidR="00041826" w:rsidRPr="00F41F91" w:rsidRDefault="00041826" w:rsidP="00041826">
            <w:pPr>
              <w:jc w:val="center"/>
              <w:rPr>
                <w:sz w:val="18"/>
              </w:rPr>
            </w:pPr>
            <w:r>
              <w:rPr>
                <w:sz w:val="18"/>
              </w:rPr>
              <w:t>0</w:t>
            </w:r>
          </w:p>
        </w:tc>
        <w:tc>
          <w:tcPr>
            <w:tcW w:w="677" w:type="dxa"/>
            <w:tcBorders>
              <w:bottom w:val="single" w:sz="18" w:space="0" w:color="auto"/>
            </w:tcBorders>
            <w:vAlign w:val="center"/>
          </w:tcPr>
          <w:p w14:paraId="102063D3" w14:textId="48ABC465" w:rsidR="00041826" w:rsidRPr="00F41F91" w:rsidRDefault="00041826" w:rsidP="00041826">
            <w:pPr>
              <w:jc w:val="center"/>
              <w:rPr>
                <w:sz w:val="18"/>
              </w:rPr>
            </w:pPr>
            <w:r w:rsidRPr="00F41F91">
              <w:rPr>
                <w:sz w:val="18"/>
              </w:rPr>
              <w:t>1.3</w:t>
            </w:r>
          </w:p>
        </w:tc>
        <w:tc>
          <w:tcPr>
            <w:tcW w:w="677" w:type="dxa"/>
            <w:tcBorders>
              <w:bottom w:val="single" w:sz="18" w:space="0" w:color="auto"/>
            </w:tcBorders>
            <w:vAlign w:val="center"/>
          </w:tcPr>
          <w:p w14:paraId="45A23DF7" w14:textId="3683E03C" w:rsidR="00041826" w:rsidRPr="00F41F91" w:rsidRDefault="00041826" w:rsidP="00041826">
            <w:pPr>
              <w:jc w:val="center"/>
              <w:rPr>
                <w:sz w:val="18"/>
              </w:rPr>
            </w:pPr>
            <w:r w:rsidRPr="00F41F91">
              <w:rPr>
                <w:sz w:val="18"/>
              </w:rPr>
              <w:t>0.3</w:t>
            </w:r>
          </w:p>
        </w:tc>
        <w:tc>
          <w:tcPr>
            <w:tcW w:w="1260" w:type="dxa"/>
            <w:gridSpan w:val="2"/>
            <w:tcBorders>
              <w:bottom w:val="single" w:sz="18" w:space="0" w:color="auto"/>
            </w:tcBorders>
            <w:vAlign w:val="center"/>
          </w:tcPr>
          <w:p w14:paraId="7C2FFBED" w14:textId="7C3E293F" w:rsidR="00041826" w:rsidRPr="00F41F91" w:rsidRDefault="00041826" w:rsidP="0004182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5046F422" w:rsidR="00041826" w:rsidRPr="00F41F91" w:rsidRDefault="00041826" w:rsidP="00041826">
            <w:pPr>
              <w:rPr>
                <w:sz w:val="17"/>
                <w:szCs w:val="16"/>
              </w:rPr>
            </w:pPr>
            <w:r w:rsidRPr="00F41F91">
              <w:rPr>
                <w:sz w:val="17"/>
                <w:szCs w:val="16"/>
              </w:rPr>
              <w:t>Internal corrosion of household plumbing systems; erosion of natural deposits; leaching from wood preservatives</w:t>
            </w:r>
          </w:p>
        </w:tc>
      </w:tr>
      <w:tr w:rsidR="000A0596" w:rsidRPr="001F3468" w14:paraId="2720B536" w14:textId="77777777" w:rsidTr="00CC0AC8">
        <w:tblPrEx>
          <w:jc w:val="left"/>
          <w:tblBorders>
            <w:top w:val="none" w:sz="0" w:space="0" w:color="auto"/>
            <w:left w:val="none" w:sz="0" w:space="0" w:color="auto"/>
            <w:right w:val="none" w:sz="0" w:space="0" w:color="auto"/>
          </w:tblBorders>
          <w:tblCellMar>
            <w:left w:w="108" w:type="dxa"/>
            <w:right w:w="108" w:type="dxa"/>
          </w:tblCellMar>
        </w:tblPrEx>
        <w:trPr>
          <w:gridBefore w:val="1"/>
          <w:wBefore w:w="100" w:type="dxa"/>
          <w:cantSplit/>
        </w:trPr>
        <w:tc>
          <w:tcPr>
            <w:tcW w:w="10800" w:type="dxa"/>
            <w:gridSpan w:val="14"/>
          </w:tcPr>
          <w:p w14:paraId="66F2CF6A" w14:textId="77777777" w:rsidR="00CC0AC8" w:rsidRDefault="00CC0AC8" w:rsidP="00AE479A">
            <w:pPr>
              <w:pStyle w:val="BodyText"/>
              <w:spacing w:before="0"/>
              <w:jc w:val="left"/>
              <w:rPr>
                <w:rFonts w:ascii="Times New Roman" w:hAnsi="Times New Roman"/>
                <w:sz w:val="18"/>
                <w:szCs w:val="18"/>
              </w:rPr>
            </w:pPr>
          </w:p>
          <w:p w14:paraId="0E3F22A4" w14:textId="03FF4E24" w:rsidR="00CC0AC8" w:rsidRPr="00C378A4" w:rsidRDefault="00CC0AC8" w:rsidP="00AE479A">
            <w:pPr>
              <w:pStyle w:val="BodyText"/>
              <w:spacing w:before="0"/>
              <w:jc w:val="left"/>
              <w:rPr>
                <w:rFonts w:ascii="Times New Roman" w:hAnsi="Times New Roman"/>
                <w:sz w:val="18"/>
                <w:szCs w:val="18"/>
              </w:rPr>
            </w:pPr>
            <w:r w:rsidRPr="00E63C2E">
              <w:rPr>
                <w:rFonts w:ascii="Times New Roman" w:hAnsi="Times New Roman"/>
                <w:b/>
                <w:bCs/>
                <w:sz w:val="18"/>
                <w:szCs w:val="18"/>
              </w:rPr>
              <w:t>TABLE 1</w:t>
            </w:r>
            <w:r>
              <w:rPr>
                <w:rFonts w:ascii="Times New Roman" w:hAnsi="Times New Roman"/>
                <w:sz w:val="18"/>
                <w:szCs w:val="18"/>
              </w:rPr>
              <w:t xml:space="preserve"> – TESTING FOR BACTERIA AND ECOLI WAS </w:t>
            </w:r>
            <w:r w:rsidR="00E63C2E">
              <w:rPr>
                <w:rFonts w:ascii="Times New Roman" w:hAnsi="Times New Roman"/>
                <w:sz w:val="18"/>
                <w:szCs w:val="18"/>
              </w:rPr>
              <w:t>CONDUCTED MONTHLY AS REQUIRED AND 0 SAMPLES RETURNED</w:t>
            </w:r>
            <w:r>
              <w:rPr>
                <w:rFonts w:ascii="Times New Roman" w:hAnsi="Times New Roman"/>
                <w:sz w:val="18"/>
                <w:szCs w:val="18"/>
              </w:rPr>
              <w:t xml:space="preserve"> </w:t>
            </w:r>
          </w:p>
        </w:tc>
      </w:tr>
      <w:tr w:rsidR="000A0596" w:rsidRPr="001F3468" w14:paraId="74C99B74" w14:textId="77777777" w:rsidTr="00CC0AC8">
        <w:tblPrEx>
          <w:jc w:val="left"/>
          <w:tblBorders>
            <w:top w:val="none" w:sz="0" w:space="0" w:color="auto"/>
            <w:left w:val="none" w:sz="0" w:space="0" w:color="auto"/>
            <w:right w:val="none" w:sz="0" w:space="0" w:color="auto"/>
          </w:tblBorders>
          <w:tblCellMar>
            <w:left w:w="108" w:type="dxa"/>
            <w:right w:w="108" w:type="dxa"/>
          </w:tblCellMar>
        </w:tblPrEx>
        <w:trPr>
          <w:gridBefore w:val="1"/>
          <w:wBefore w:w="100" w:type="dxa"/>
          <w:cantSplit/>
        </w:trPr>
        <w:tc>
          <w:tcPr>
            <w:tcW w:w="10800" w:type="dxa"/>
            <w:gridSpan w:val="14"/>
          </w:tcPr>
          <w:p w14:paraId="2CD4A4F8" w14:textId="1A5CA84A" w:rsidR="000A0596" w:rsidRPr="00C378A4" w:rsidRDefault="00CC0AC8" w:rsidP="00AE479A">
            <w:pPr>
              <w:pStyle w:val="BodyText"/>
              <w:spacing w:before="0"/>
              <w:jc w:val="left"/>
              <w:rPr>
                <w:rFonts w:ascii="Times New Roman" w:hAnsi="Times New Roman"/>
                <w:sz w:val="18"/>
                <w:szCs w:val="18"/>
              </w:rPr>
            </w:pPr>
            <w:r>
              <w:rPr>
                <w:rFonts w:ascii="Times New Roman" w:hAnsi="Times New Roman"/>
                <w:sz w:val="18"/>
                <w:szCs w:val="18"/>
              </w:rPr>
              <w:t xml:space="preserve"> </w:t>
            </w:r>
            <w:r w:rsidR="00E63C2E">
              <w:rPr>
                <w:rFonts w:ascii="Times New Roman" w:hAnsi="Times New Roman"/>
                <w:sz w:val="18"/>
                <w:szCs w:val="18"/>
              </w:rPr>
              <w:t>POSITIVE FOR EITHER BACTERIA NOR ECOLI.</w:t>
            </w:r>
          </w:p>
        </w:tc>
      </w:tr>
      <w:tr w:rsidR="000A0596" w:rsidRPr="001F3468" w14:paraId="2286BB77" w14:textId="77777777" w:rsidTr="00CC0AC8">
        <w:tblPrEx>
          <w:jc w:val="left"/>
          <w:tblBorders>
            <w:top w:val="none" w:sz="0" w:space="0" w:color="auto"/>
            <w:left w:val="none" w:sz="0" w:space="0" w:color="auto"/>
            <w:right w:val="none" w:sz="0" w:space="0" w:color="auto"/>
          </w:tblBorders>
          <w:tblCellMar>
            <w:left w:w="108" w:type="dxa"/>
            <w:right w:w="108" w:type="dxa"/>
          </w:tblCellMar>
        </w:tblPrEx>
        <w:trPr>
          <w:gridBefore w:val="1"/>
          <w:wBefore w:w="100" w:type="dxa"/>
          <w:cantSplit/>
        </w:trPr>
        <w:tc>
          <w:tcPr>
            <w:tcW w:w="10800" w:type="dxa"/>
            <w:gridSpan w:val="14"/>
            <w:tcBorders>
              <w:top w:val="single" w:sz="4" w:space="0" w:color="auto"/>
              <w:bottom w:val="single" w:sz="4" w:space="0" w:color="auto"/>
            </w:tcBorders>
          </w:tcPr>
          <w:p w14:paraId="755D976A" w14:textId="66FE1306" w:rsidR="000A0596" w:rsidRPr="00C378A4" w:rsidRDefault="00CC0AC8" w:rsidP="00AE479A">
            <w:pPr>
              <w:pStyle w:val="BodyText"/>
              <w:spacing w:before="0"/>
              <w:jc w:val="left"/>
              <w:rPr>
                <w:rFonts w:ascii="Times New Roman" w:hAnsi="Times New Roman"/>
                <w:sz w:val="18"/>
                <w:szCs w:val="18"/>
              </w:rPr>
            </w:pPr>
            <w:r>
              <w:rPr>
                <w:rFonts w:ascii="Times New Roman" w:hAnsi="Times New Roman"/>
                <w:sz w:val="18"/>
                <w:szCs w:val="18"/>
              </w:rPr>
              <w:t xml:space="preserve"> </w:t>
            </w:r>
            <w:r w:rsidRPr="00E63C2E">
              <w:rPr>
                <w:rFonts w:ascii="Times New Roman" w:hAnsi="Times New Roman"/>
                <w:b/>
                <w:bCs/>
                <w:sz w:val="18"/>
                <w:szCs w:val="18"/>
              </w:rPr>
              <w:t>TABLE 2</w:t>
            </w:r>
            <w:r>
              <w:rPr>
                <w:rFonts w:ascii="Times New Roman" w:hAnsi="Times New Roman"/>
                <w:sz w:val="18"/>
                <w:szCs w:val="18"/>
              </w:rPr>
              <w:t xml:space="preserve"> - T</w:t>
            </w:r>
            <w:r>
              <w:rPr>
                <w:rFonts w:ascii="Times New Roman" w:hAnsi="Times New Roman"/>
                <w:sz w:val="18"/>
                <w:szCs w:val="18"/>
              </w:rPr>
              <w:t xml:space="preserve">ESTING FOR LEAD AND COPPER WAS CONDUCTED 2 TIMES IN THE YEAR AND ALL 10 SAMPLES WERE BELOW </w:t>
            </w:r>
          </w:p>
        </w:tc>
      </w:tr>
      <w:tr w:rsidR="000A0596" w:rsidRPr="001F3468" w14:paraId="183B55ED" w14:textId="77777777" w:rsidTr="00CC0AC8">
        <w:tblPrEx>
          <w:jc w:val="left"/>
          <w:tblBorders>
            <w:top w:val="none" w:sz="0" w:space="0" w:color="auto"/>
            <w:left w:val="none" w:sz="0" w:space="0" w:color="auto"/>
            <w:right w:val="none" w:sz="0" w:space="0" w:color="auto"/>
          </w:tblBorders>
          <w:tblCellMar>
            <w:left w:w="108" w:type="dxa"/>
            <w:right w:w="108" w:type="dxa"/>
          </w:tblCellMar>
        </w:tblPrEx>
        <w:trPr>
          <w:gridBefore w:val="1"/>
          <w:wBefore w:w="100" w:type="dxa"/>
          <w:cantSplit/>
        </w:trPr>
        <w:tc>
          <w:tcPr>
            <w:tcW w:w="10800" w:type="dxa"/>
            <w:gridSpan w:val="14"/>
            <w:tcBorders>
              <w:top w:val="single" w:sz="4" w:space="0" w:color="auto"/>
              <w:bottom w:val="single" w:sz="4" w:space="0" w:color="auto"/>
            </w:tcBorders>
          </w:tcPr>
          <w:p w14:paraId="25D284BF" w14:textId="2AECB47D" w:rsidR="000A0596" w:rsidRPr="00C378A4" w:rsidRDefault="00CC0AC8" w:rsidP="00AE479A">
            <w:pPr>
              <w:pStyle w:val="BodyText"/>
              <w:spacing w:before="0"/>
              <w:jc w:val="left"/>
              <w:rPr>
                <w:rFonts w:ascii="Times New Roman" w:hAnsi="Times New Roman"/>
                <w:sz w:val="18"/>
                <w:szCs w:val="18"/>
              </w:rPr>
            </w:pPr>
            <w:r>
              <w:rPr>
                <w:rFonts w:ascii="Times New Roman" w:hAnsi="Times New Roman"/>
                <w:sz w:val="18"/>
                <w:szCs w:val="18"/>
              </w:rPr>
              <w:t xml:space="preserve"> THE </w:t>
            </w:r>
            <w:r>
              <w:rPr>
                <w:rFonts w:ascii="Times New Roman" w:hAnsi="Times New Roman"/>
                <w:sz w:val="18"/>
                <w:szCs w:val="18"/>
              </w:rPr>
              <w:t>ALLOWED AL.</w:t>
            </w:r>
          </w:p>
        </w:tc>
      </w:tr>
    </w:tbl>
    <w:p w14:paraId="5C1A3B8D" w14:textId="756B64D0" w:rsidR="000A0596" w:rsidRDefault="000A0596"/>
    <w:p w14:paraId="3407828A" w14:textId="77777777" w:rsidR="000A0596" w:rsidRDefault="000A0596"/>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B3023D" w:rsidRPr="001F3468" w14:paraId="7B28257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3F68A3">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tcBorders>
              <w:top w:val="nil"/>
              <w:bottom w:val="single" w:sz="4" w:space="0" w:color="auto"/>
            </w:tcBorders>
            <w:vAlign w:val="center"/>
          </w:tcPr>
          <w:p w14:paraId="2DC49168" w14:textId="2053AC5E" w:rsidR="00B3023D" w:rsidRPr="00F41F91" w:rsidRDefault="003F68A3" w:rsidP="009C6436">
            <w:pPr>
              <w:jc w:val="center"/>
              <w:rPr>
                <w:sz w:val="18"/>
              </w:rPr>
            </w:pPr>
            <w:r>
              <w:rPr>
                <w:sz w:val="18"/>
              </w:rPr>
              <w:t>12/09/05</w:t>
            </w:r>
          </w:p>
        </w:tc>
        <w:tc>
          <w:tcPr>
            <w:tcW w:w="1350" w:type="dxa"/>
            <w:tcBorders>
              <w:top w:val="nil"/>
              <w:bottom w:val="single" w:sz="4" w:space="0" w:color="auto"/>
            </w:tcBorders>
            <w:vAlign w:val="center"/>
          </w:tcPr>
          <w:p w14:paraId="690B0D1C" w14:textId="6ED5C11E" w:rsidR="00B3023D" w:rsidRPr="00F41F91" w:rsidRDefault="003F68A3" w:rsidP="009C6436">
            <w:pPr>
              <w:jc w:val="center"/>
              <w:rPr>
                <w:sz w:val="18"/>
              </w:rPr>
            </w:pPr>
            <w:r>
              <w:rPr>
                <w:sz w:val="18"/>
              </w:rPr>
              <w:t>30</w:t>
            </w:r>
          </w:p>
        </w:tc>
        <w:tc>
          <w:tcPr>
            <w:tcW w:w="1440" w:type="dxa"/>
            <w:tcBorders>
              <w:top w:val="nil"/>
              <w:bottom w:val="single" w:sz="4" w:space="0" w:color="auto"/>
            </w:tcBorders>
            <w:vAlign w:val="center"/>
          </w:tcPr>
          <w:p w14:paraId="6802CC34" w14:textId="77777777" w:rsidR="00B3023D" w:rsidRPr="00F41F91" w:rsidRDefault="00B3023D" w:rsidP="009C6436">
            <w:pPr>
              <w:jc w:val="center"/>
              <w:rPr>
                <w:sz w:val="18"/>
              </w:rPr>
            </w:pPr>
          </w:p>
        </w:tc>
        <w:tc>
          <w:tcPr>
            <w:tcW w:w="900" w:type="dxa"/>
            <w:tcBorders>
              <w:top w:val="nil"/>
              <w:bottom w:val="single" w:sz="4" w:space="0" w:color="auto"/>
            </w:tcBorders>
            <w:vAlign w:val="center"/>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3F68A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tcBorders>
              <w:bottom w:val="single" w:sz="18" w:space="0" w:color="auto"/>
            </w:tcBorders>
            <w:vAlign w:val="center"/>
          </w:tcPr>
          <w:p w14:paraId="7A81C45D" w14:textId="751091B1" w:rsidR="00B3023D" w:rsidRPr="00F41F91" w:rsidRDefault="003F68A3" w:rsidP="009C6436">
            <w:pPr>
              <w:jc w:val="center"/>
              <w:rPr>
                <w:sz w:val="18"/>
              </w:rPr>
            </w:pPr>
            <w:r>
              <w:rPr>
                <w:sz w:val="18"/>
              </w:rPr>
              <w:t>12/06/05</w:t>
            </w:r>
          </w:p>
        </w:tc>
        <w:tc>
          <w:tcPr>
            <w:tcW w:w="1350" w:type="dxa"/>
            <w:tcBorders>
              <w:bottom w:val="single" w:sz="18" w:space="0" w:color="auto"/>
            </w:tcBorders>
            <w:vAlign w:val="center"/>
          </w:tcPr>
          <w:p w14:paraId="5F571C45" w14:textId="494F48CF" w:rsidR="00B3023D" w:rsidRPr="00F41F91" w:rsidRDefault="003F68A3" w:rsidP="009C6436">
            <w:pPr>
              <w:jc w:val="center"/>
              <w:rPr>
                <w:sz w:val="18"/>
              </w:rPr>
            </w:pPr>
            <w:r>
              <w:rPr>
                <w:sz w:val="18"/>
              </w:rPr>
              <w:t>100</w:t>
            </w:r>
          </w:p>
        </w:tc>
        <w:tc>
          <w:tcPr>
            <w:tcW w:w="1440" w:type="dxa"/>
            <w:tcBorders>
              <w:bottom w:val="single" w:sz="18" w:space="0" w:color="auto"/>
            </w:tcBorders>
            <w:vAlign w:val="center"/>
          </w:tcPr>
          <w:p w14:paraId="2BE476FB" w14:textId="77777777" w:rsidR="00B3023D" w:rsidRPr="00F41F91" w:rsidRDefault="00B3023D" w:rsidP="009C6436">
            <w:pPr>
              <w:jc w:val="center"/>
              <w:rPr>
                <w:sz w:val="18"/>
              </w:rPr>
            </w:pPr>
          </w:p>
        </w:tc>
        <w:tc>
          <w:tcPr>
            <w:tcW w:w="900" w:type="dxa"/>
            <w:tcBorders>
              <w:bottom w:val="single" w:sz="18" w:space="0" w:color="auto"/>
            </w:tcBorders>
            <w:vAlign w:val="center"/>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vAlign w:val="center"/>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8D1BD9" w:rsidRPr="001F3468" w14:paraId="43FFA17C" w14:textId="77777777" w:rsidTr="002E7EB2">
        <w:trPr>
          <w:trHeight w:val="2007"/>
          <w:jc w:val="center"/>
        </w:trPr>
        <w:tc>
          <w:tcPr>
            <w:tcW w:w="10836" w:type="dxa"/>
            <w:gridSpan w:val="7"/>
            <w:tcBorders>
              <w:top w:val="single" w:sz="18" w:space="0" w:color="auto"/>
              <w:left w:val="single" w:sz="6" w:space="0" w:color="auto"/>
              <w:right w:val="single" w:sz="6" w:space="0" w:color="auto"/>
            </w:tcBorders>
            <w:vAlign w:val="center"/>
          </w:tcPr>
          <w:p w14:paraId="6554B449" w14:textId="30C46D1D" w:rsidR="00CC0AC8" w:rsidRDefault="00CC0AC8" w:rsidP="00CC0AC8">
            <w:pPr>
              <w:pStyle w:val="Heading7"/>
              <w:spacing w:before="40" w:after="40" w:line="240" w:lineRule="auto"/>
              <w:jc w:val="left"/>
              <w:rPr>
                <w:rFonts w:ascii="Times New Roman" w:hAnsi="Times New Roman"/>
                <w:b w:val="0"/>
              </w:rPr>
            </w:pPr>
            <w:r w:rsidRPr="008D1BD9">
              <w:rPr>
                <w:rFonts w:ascii="Times New Roman" w:hAnsi="Times New Roman"/>
                <w:b w:val="0"/>
              </w:rPr>
              <w:t xml:space="preserve">WARNOCK FOOD PRODUCTS ROUTINELY TESTS A BATTERY OF SAMPLES TO COMPLY WITH THE PRIMARY AND SECONDARY DRINKING WATER STANDARDS. THESE INCLUDE “GENERAL MINERAL”, “INORGANICS”,” REGULATED ORGANICS”,” VOC’s”, “SVOC’s” AND” RADIOACTIVITY”. THESE </w:t>
            </w:r>
            <w:r>
              <w:rPr>
                <w:rFonts w:ascii="Times New Roman" w:hAnsi="Times New Roman"/>
                <w:b w:val="0"/>
              </w:rPr>
              <w:t>ARE</w:t>
            </w:r>
            <w:r w:rsidRPr="008D1BD9">
              <w:rPr>
                <w:rFonts w:ascii="Times New Roman" w:hAnsi="Times New Roman"/>
                <w:b w:val="0"/>
              </w:rPr>
              <w:t xml:space="preserve"> TESTED EVERY 3 YEARS AS REQUIRED</w:t>
            </w:r>
            <w:r>
              <w:rPr>
                <w:rFonts w:ascii="Times New Roman" w:hAnsi="Times New Roman"/>
                <w:b w:val="0"/>
              </w:rPr>
              <w:t>.</w:t>
            </w:r>
            <w:r w:rsidRPr="008D1BD9">
              <w:rPr>
                <w:rFonts w:ascii="Times New Roman" w:hAnsi="Times New Roman"/>
                <w:b w:val="0"/>
              </w:rPr>
              <w:t xml:space="preserve"> IN 2019, BOTH WELLS WERE TESTED </w:t>
            </w:r>
            <w:r>
              <w:rPr>
                <w:rFonts w:ascii="Times New Roman" w:hAnsi="Times New Roman"/>
                <w:b w:val="0"/>
              </w:rPr>
              <w:t xml:space="preserve">FOR “MTBE” &amp; “VOC’S” </w:t>
            </w:r>
            <w:r w:rsidRPr="008D1BD9">
              <w:rPr>
                <w:rFonts w:ascii="Times New Roman" w:hAnsi="Times New Roman"/>
                <w:b w:val="0"/>
              </w:rPr>
              <w:t xml:space="preserve">AND NONE OF THOSE SAMPLE RESULTS EXCEEDED THE “MCL AND </w:t>
            </w:r>
            <w:r>
              <w:rPr>
                <w:rFonts w:ascii="Times New Roman" w:hAnsi="Times New Roman"/>
                <w:b w:val="0"/>
              </w:rPr>
              <w:t>ALL</w:t>
            </w:r>
            <w:r w:rsidRPr="008D1BD9">
              <w:rPr>
                <w:rFonts w:ascii="Times New Roman" w:hAnsi="Times New Roman"/>
                <w:b w:val="0"/>
              </w:rPr>
              <w:t xml:space="preserve"> WERE “ND”. IN 20</w:t>
            </w:r>
            <w:r>
              <w:rPr>
                <w:rFonts w:ascii="Times New Roman" w:hAnsi="Times New Roman"/>
                <w:b w:val="0"/>
              </w:rPr>
              <w:t>20</w:t>
            </w:r>
            <w:r w:rsidRPr="008D1BD9">
              <w:rPr>
                <w:rFonts w:ascii="Times New Roman" w:hAnsi="Times New Roman"/>
                <w:b w:val="0"/>
              </w:rPr>
              <w:t xml:space="preserve">, THE SCHEDULED NITRATE TEST WAS TAKEN AND BOTH WELLS HAD A RESULT </w:t>
            </w:r>
            <w:r>
              <w:rPr>
                <w:rFonts w:ascii="Times New Roman" w:hAnsi="Times New Roman"/>
                <w:b w:val="0"/>
              </w:rPr>
              <w:t>“</w:t>
            </w:r>
            <w:r>
              <w:rPr>
                <w:rFonts w:ascii="Times New Roman" w:hAnsi="Times New Roman"/>
                <w:b w:val="0"/>
              </w:rPr>
              <w:t>ND”</w:t>
            </w:r>
            <w:r w:rsidRPr="008D1BD9">
              <w:rPr>
                <w:rFonts w:ascii="Times New Roman" w:hAnsi="Times New Roman"/>
                <w:b w:val="0"/>
              </w:rPr>
              <w:t xml:space="preserve"> </w:t>
            </w:r>
            <w:r>
              <w:rPr>
                <w:rFonts w:ascii="Times New Roman" w:hAnsi="Times New Roman"/>
                <w:b w:val="0"/>
              </w:rPr>
              <w:t>“</w:t>
            </w:r>
            <w:r>
              <w:rPr>
                <w:rFonts w:ascii="Times New Roman" w:hAnsi="Times New Roman"/>
                <w:b w:val="0"/>
              </w:rPr>
              <w:t>NOT DETECTED”</w:t>
            </w:r>
          </w:p>
          <w:p w14:paraId="06AA07F3" w14:textId="3585B3EF" w:rsidR="008D1BD9" w:rsidRPr="000D5F2B" w:rsidRDefault="008D1BD9" w:rsidP="000D5F2B">
            <w:pPr>
              <w:pStyle w:val="Heading7"/>
              <w:spacing w:before="40" w:after="40" w:line="240" w:lineRule="auto"/>
              <w:jc w:val="left"/>
              <w:rPr>
                <w:rFonts w:ascii="Times New Roman" w:hAnsi="Times New Roman"/>
                <w:b w:val="0"/>
              </w:rPr>
            </w:pPr>
          </w:p>
        </w:tc>
      </w:tr>
      <w:tr w:rsidR="00BC6327" w:rsidRPr="001F3468" w14:paraId="3C75DEB6"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2A6C3E" w:rsidRPr="001F3468" w14:paraId="454686BB" w14:textId="77777777" w:rsidTr="00A55CC9">
        <w:trPr>
          <w:trHeight w:val="1514"/>
          <w:jc w:val="center"/>
        </w:trPr>
        <w:tc>
          <w:tcPr>
            <w:tcW w:w="10836" w:type="dxa"/>
            <w:gridSpan w:val="7"/>
            <w:tcBorders>
              <w:top w:val="single" w:sz="18" w:space="0" w:color="auto"/>
              <w:left w:val="single" w:sz="6" w:space="0" w:color="auto"/>
              <w:right w:val="single" w:sz="6" w:space="0" w:color="auto"/>
            </w:tcBorders>
            <w:vAlign w:val="center"/>
          </w:tcPr>
          <w:p w14:paraId="792A5A93" w14:textId="77777777" w:rsidR="008D1BD9" w:rsidRDefault="008D1BD9" w:rsidP="008D1BD9">
            <w:pPr>
              <w:pStyle w:val="Heading7"/>
              <w:spacing w:before="40" w:after="40" w:line="240" w:lineRule="auto"/>
              <w:jc w:val="left"/>
              <w:rPr>
                <w:rFonts w:ascii="Times New Roman" w:hAnsi="Times New Roman"/>
                <w:b w:val="0"/>
              </w:rPr>
            </w:pPr>
          </w:p>
          <w:p w14:paraId="689EF764" w14:textId="1E401CAC" w:rsidR="00CC0AC8" w:rsidRDefault="00CC0AC8" w:rsidP="00CC0AC8">
            <w:pPr>
              <w:pStyle w:val="Heading7"/>
              <w:spacing w:before="40" w:after="40" w:line="240" w:lineRule="auto"/>
              <w:jc w:val="left"/>
              <w:rPr>
                <w:rFonts w:ascii="Times New Roman" w:hAnsi="Times New Roman"/>
                <w:b w:val="0"/>
              </w:rPr>
            </w:pPr>
            <w:r w:rsidRPr="008D1BD9">
              <w:rPr>
                <w:rFonts w:ascii="Times New Roman" w:hAnsi="Times New Roman"/>
                <w:b w:val="0"/>
              </w:rPr>
              <w:t xml:space="preserve">WARNOCK FOOD PRODUCTS ROUTINELY TESTS A BATTERY OF SAMPLES TO COMPLY WITH THE PRIMARY AND SECONDARY DRINKING WATER STANDARDS. THESE INCLUDE “GENERAL MINERAL”, “INORGANICS”,” REGULATED ORGANICS”,” VOC’s”, “SVOC’s” AND” RADIOACTIVITY”. THESE </w:t>
            </w:r>
            <w:r>
              <w:rPr>
                <w:rFonts w:ascii="Times New Roman" w:hAnsi="Times New Roman"/>
                <w:b w:val="0"/>
              </w:rPr>
              <w:t>ARE</w:t>
            </w:r>
            <w:r w:rsidRPr="008D1BD9">
              <w:rPr>
                <w:rFonts w:ascii="Times New Roman" w:hAnsi="Times New Roman"/>
                <w:b w:val="0"/>
              </w:rPr>
              <w:t xml:space="preserve"> TESTED EVERY 3 YEARS AS REQUIRED</w:t>
            </w:r>
            <w:r>
              <w:rPr>
                <w:rFonts w:ascii="Times New Roman" w:hAnsi="Times New Roman"/>
                <w:b w:val="0"/>
              </w:rPr>
              <w:t>.</w:t>
            </w:r>
            <w:r w:rsidRPr="008D1BD9">
              <w:rPr>
                <w:rFonts w:ascii="Times New Roman" w:hAnsi="Times New Roman"/>
                <w:b w:val="0"/>
              </w:rPr>
              <w:t xml:space="preserve"> IN 2019, BOTH WELLS WERE TESTED </w:t>
            </w:r>
            <w:r>
              <w:rPr>
                <w:rFonts w:ascii="Times New Roman" w:hAnsi="Times New Roman"/>
                <w:b w:val="0"/>
              </w:rPr>
              <w:t xml:space="preserve">FOR “MTBE” &amp; “VOC’S” </w:t>
            </w:r>
            <w:r w:rsidRPr="008D1BD9">
              <w:rPr>
                <w:rFonts w:ascii="Times New Roman" w:hAnsi="Times New Roman"/>
                <w:b w:val="0"/>
              </w:rPr>
              <w:t xml:space="preserve">AND NONE OF THOSE SAMPLE RESULTS EXCEEDED THE “MCL AND </w:t>
            </w:r>
            <w:r>
              <w:rPr>
                <w:rFonts w:ascii="Times New Roman" w:hAnsi="Times New Roman"/>
                <w:b w:val="0"/>
              </w:rPr>
              <w:t>ALL</w:t>
            </w:r>
            <w:r w:rsidRPr="008D1BD9">
              <w:rPr>
                <w:rFonts w:ascii="Times New Roman" w:hAnsi="Times New Roman"/>
                <w:b w:val="0"/>
              </w:rPr>
              <w:t xml:space="preserve"> WERE “ND”. IN 20</w:t>
            </w:r>
            <w:r>
              <w:rPr>
                <w:rFonts w:ascii="Times New Roman" w:hAnsi="Times New Roman"/>
                <w:b w:val="0"/>
              </w:rPr>
              <w:t>20</w:t>
            </w:r>
            <w:r w:rsidRPr="008D1BD9">
              <w:rPr>
                <w:rFonts w:ascii="Times New Roman" w:hAnsi="Times New Roman"/>
                <w:b w:val="0"/>
              </w:rPr>
              <w:t xml:space="preserve">, THE SCHEDULED NITRATE TEST WAS TAKEN AND BOTH WELLS HAD A RESULT </w:t>
            </w:r>
            <w:r>
              <w:rPr>
                <w:rFonts w:ascii="Times New Roman" w:hAnsi="Times New Roman"/>
                <w:b w:val="0"/>
              </w:rPr>
              <w:t>“</w:t>
            </w:r>
            <w:r>
              <w:rPr>
                <w:rFonts w:ascii="Times New Roman" w:hAnsi="Times New Roman"/>
                <w:b w:val="0"/>
              </w:rPr>
              <w:t>ND”</w:t>
            </w:r>
            <w:r w:rsidRPr="008D1BD9">
              <w:rPr>
                <w:rFonts w:ascii="Times New Roman" w:hAnsi="Times New Roman"/>
                <w:b w:val="0"/>
              </w:rPr>
              <w:t xml:space="preserve"> </w:t>
            </w:r>
            <w:r>
              <w:rPr>
                <w:rFonts w:ascii="Times New Roman" w:hAnsi="Times New Roman"/>
                <w:b w:val="0"/>
              </w:rPr>
              <w:t>“</w:t>
            </w:r>
            <w:r>
              <w:rPr>
                <w:rFonts w:ascii="Times New Roman" w:hAnsi="Times New Roman"/>
                <w:b w:val="0"/>
              </w:rPr>
              <w:t>NOT DETECTED”</w:t>
            </w:r>
          </w:p>
          <w:p w14:paraId="668CDEA6" w14:textId="68E1A4B3" w:rsidR="008D1BD9" w:rsidRPr="008D1BD9" w:rsidRDefault="008D1BD9" w:rsidP="008D1BD9"/>
        </w:tc>
      </w:tr>
      <w:tr w:rsidR="00074CBB" w:rsidRPr="001F3468" w14:paraId="391394F8"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D5F2B" w:rsidRPr="001F3468" w14:paraId="51C87D94" w14:textId="77777777" w:rsidTr="003A6CB5">
        <w:trPr>
          <w:cantSplit/>
          <w:trHeight w:val="971"/>
          <w:jc w:val="center"/>
        </w:trPr>
        <w:tc>
          <w:tcPr>
            <w:tcW w:w="10836" w:type="dxa"/>
            <w:gridSpan w:val="7"/>
            <w:tcBorders>
              <w:top w:val="single" w:sz="18" w:space="0" w:color="auto"/>
              <w:left w:val="single" w:sz="6" w:space="0" w:color="auto"/>
              <w:right w:val="single" w:sz="6" w:space="0" w:color="auto"/>
            </w:tcBorders>
            <w:vAlign w:val="center"/>
          </w:tcPr>
          <w:p w14:paraId="025F997D" w14:textId="77777777" w:rsidR="000D5F2B" w:rsidRDefault="000D5F2B" w:rsidP="000D5F2B">
            <w:pPr>
              <w:pStyle w:val="Heading7"/>
              <w:spacing w:before="40" w:after="40" w:line="240" w:lineRule="auto"/>
              <w:jc w:val="left"/>
              <w:rPr>
                <w:rFonts w:ascii="Times New Roman" w:hAnsi="Times New Roman"/>
                <w:b w:val="0"/>
              </w:rPr>
            </w:pPr>
          </w:p>
          <w:p w14:paraId="288FFDF8" w14:textId="306B6154" w:rsidR="000D5F2B" w:rsidRDefault="000D5F2B" w:rsidP="000D5F2B">
            <w:pPr>
              <w:pStyle w:val="Heading7"/>
              <w:spacing w:before="40" w:after="40" w:line="240" w:lineRule="auto"/>
              <w:jc w:val="left"/>
              <w:rPr>
                <w:rFonts w:ascii="Times New Roman" w:hAnsi="Times New Roman"/>
                <w:b w:val="0"/>
              </w:rPr>
            </w:pPr>
            <w:r w:rsidRPr="008D1BD9">
              <w:rPr>
                <w:rFonts w:ascii="Times New Roman" w:hAnsi="Times New Roman"/>
                <w:b w:val="0"/>
              </w:rPr>
              <w:t xml:space="preserve">WARNOCK FOOD PRODUCTS ROUTINELY TESTS A BATTERY OF SAMPLES TO COMPLY WITH THE PRIMARY AND SECONDARY DRINKING WATER STANDARDS. THESE INCLUDE “GENERAL MINERAL”, “INORGANICS”,” REGULATED ORGANICS”,” VOC’s”, “SVOC’s” AND” RADIOACTIVITY”. THESE </w:t>
            </w:r>
            <w:r>
              <w:rPr>
                <w:rFonts w:ascii="Times New Roman" w:hAnsi="Times New Roman"/>
                <w:b w:val="0"/>
              </w:rPr>
              <w:t>ARE</w:t>
            </w:r>
            <w:r w:rsidRPr="008D1BD9">
              <w:rPr>
                <w:rFonts w:ascii="Times New Roman" w:hAnsi="Times New Roman"/>
                <w:b w:val="0"/>
              </w:rPr>
              <w:t xml:space="preserve"> TESTED EVERY 3 YEARS AS REQUIRED</w:t>
            </w:r>
            <w:r>
              <w:rPr>
                <w:rFonts w:ascii="Times New Roman" w:hAnsi="Times New Roman"/>
                <w:b w:val="0"/>
              </w:rPr>
              <w:t>.</w:t>
            </w:r>
            <w:r w:rsidRPr="008D1BD9">
              <w:rPr>
                <w:rFonts w:ascii="Times New Roman" w:hAnsi="Times New Roman"/>
                <w:b w:val="0"/>
              </w:rPr>
              <w:t xml:space="preserve"> IN 2019, BOTH WELLS WERE TESTED </w:t>
            </w:r>
            <w:r>
              <w:rPr>
                <w:rFonts w:ascii="Times New Roman" w:hAnsi="Times New Roman"/>
                <w:b w:val="0"/>
              </w:rPr>
              <w:t xml:space="preserve">FOR “MTBE” &amp; “VOC’S” </w:t>
            </w:r>
            <w:r w:rsidRPr="008D1BD9">
              <w:rPr>
                <w:rFonts w:ascii="Times New Roman" w:hAnsi="Times New Roman"/>
                <w:b w:val="0"/>
              </w:rPr>
              <w:t xml:space="preserve">AND NONE OF THOSE SAMPLE RESULTS EXCEEDED THE “MCL AND </w:t>
            </w:r>
            <w:r>
              <w:rPr>
                <w:rFonts w:ascii="Times New Roman" w:hAnsi="Times New Roman"/>
                <w:b w:val="0"/>
              </w:rPr>
              <w:t>ALL</w:t>
            </w:r>
            <w:r w:rsidRPr="008D1BD9">
              <w:rPr>
                <w:rFonts w:ascii="Times New Roman" w:hAnsi="Times New Roman"/>
                <w:b w:val="0"/>
              </w:rPr>
              <w:t xml:space="preserve"> WERE “ND”. IN 20</w:t>
            </w:r>
            <w:r w:rsidR="00CC0AC8">
              <w:rPr>
                <w:rFonts w:ascii="Times New Roman" w:hAnsi="Times New Roman"/>
                <w:b w:val="0"/>
              </w:rPr>
              <w:t>20</w:t>
            </w:r>
            <w:r w:rsidRPr="008D1BD9">
              <w:rPr>
                <w:rFonts w:ascii="Times New Roman" w:hAnsi="Times New Roman"/>
                <w:b w:val="0"/>
              </w:rPr>
              <w:t xml:space="preserve">, THE SCHEDULED NITRATE TEST WAS TAKEN AND BOTH WELLS HAD A RESULT </w:t>
            </w:r>
            <w:r w:rsidR="00CC0AC8">
              <w:rPr>
                <w:rFonts w:ascii="Times New Roman" w:hAnsi="Times New Roman"/>
                <w:b w:val="0"/>
              </w:rPr>
              <w:t>“ND”</w:t>
            </w:r>
            <w:r w:rsidR="00CC0AC8" w:rsidRPr="008D1BD9">
              <w:rPr>
                <w:rFonts w:ascii="Times New Roman" w:hAnsi="Times New Roman"/>
                <w:b w:val="0"/>
              </w:rPr>
              <w:t xml:space="preserve"> </w:t>
            </w:r>
            <w:r w:rsidR="00CC0AC8">
              <w:rPr>
                <w:rFonts w:ascii="Times New Roman" w:hAnsi="Times New Roman"/>
                <w:b w:val="0"/>
              </w:rPr>
              <w:t>“NOT DETECTED”</w:t>
            </w:r>
          </w:p>
          <w:p w14:paraId="055CBCED" w14:textId="20FC3660" w:rsidR="000D5F2B" w:rsidRPr="00F41F91" w:rsidRDefault="000D5F2B" w:rsidP="00F01B42">
            <w:pPr>
              <w:spacing w:before="40" w:after="40"/>
              <w:jc w:val="center"/>
              <w:rPr>
                <w:b/>
                <w:bCs/>
                <w:sz w:val="18"/>
              </w:rPr>
            </w:pPr>
          </w:p>
        </w:tc>
      </w:tr>
    </w:tbl>
    <w:p w14:paraId="2B92108B" w14:textId="77777777" w:rsidR="00232B52" w:rsidRDefault="00232B52" w:rsidP="00294205">
      <w:pPr>
        <w:spacing w:before="240" w:after="240"/>
        <w:jc w:val="center"/>
        <w:rPr>
          <w:b/>
          <w:sz w:val="26"/>
        </w:rPr>
      </w:pPr>
    </w:p>
    <w:p w14:paraId="6C95355E" w14:textId="22819BAC" w:rsidR="00232B52" w:rsidRDefault="00232B52" w:rsidP="00294205">
      <w:pPr>
        <w:spacing w:before="240" w:after="240"/>
        <w:jc w:val="center"/>
        <w:rPr>
          <w:b/>
          <w:sz w:val="26"/>
        </w:rPr>
      </w:pPr>
    </w:p>
    <w:p w14:paraId="613DEC40" w14:textId="1F9D3A21" w:rsidR="00CC0AC8" w:rsidRDefault="00CC0AC8" w:rsidP="00294205">
      <w:pPr>
        <w:spacing w:before="240" w:after="240"/>
        <w:jc w:val="center"/>
        <w:rPr>
          <w:b/>
          <w:sz w:val="26"/>
        </w:rPr>
      </w:pPr>
    </w:p>
    <w:p w14:paraId="6DCBC686" w14:textId="3D8BE7E9" w:rsidR="00CC0AC8" w:rsidRDefault="00CC0AC8" w:rsidP="00294205">
      <w:pPr>
        <w:spacing w:before="240" w:after="240"/>
        <w:jc w:val="center"/>
        <w:rPr>
          <w:b/>
          <w:sz w:val="26"/>
        </w:rPr>
      </w:pPr>
    </w:p>
    <w:p w14:paraId="3B4C9868" w14:textId="047FA18E" w:rsidR="00CC0AC8" w:rsidRDefault="00CC0AC8" w:rsidP="00294205">
      <w:pPr>
        <w:spacing w:before="240" w:after="240"/>
        <w:jc w:val="center"/>
        <w:rPr>
          <w:b/>
          <w:sz w:val="26"/>
        </w:rPr>
      </w:pPr>
    </w:p>
    <w:p w14:paraId="2F657AE9" w14:textId="77777777" w:rsidR="00CC0AC8" w:rsidRDefault="00CC0AC8" w:rsidP="00294205">
      <w:pPr>
        <w:spacing w:before="240" w:after="240"/>
        <w:jc w:val="center"/>
        <w:rPr>
          <w:b/>
          <w:sz w:val="26"/>
        </w:rPr>
      </w:pPr>
    </w:p>
    <w:p w14:paraId="7A3F9BEA" w14:textId="1D915C78"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0B0F06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35C5D">
        <w:rPr>
          <w:rFonts w:ascii="Times New Roman" w:hAnsi="Times New Roman"/>
          <w:u w:val="single"/>
        </w:rPr>
        <w:t>Warnock Foods #2 System #2000507</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3B7974D" w:rsidR="00803861" w:rsidRPr="008D1BD9" w:rsidRDefault="008D1BD9" w:rsidP="008D1BD9">
            <w:pPr>
              <w:pStyle w:val="BodyText"/>
              <w:spacing w:before="0"/>
              <w:jc w:val="center"/>
              <w:rPr>
                <w:rFonts w:ascii="Times New Roman" w:hAnsi="Times New Roman"/>
                <w:bCs/>
                <w:sz w:val="18"/>
                <w:szCs w:val="18"/>
              </w:rPr>
            </w:pPr>
            <w:r w:rsidRPr="008D1BD9">
              <w:rPr>
                <w:rFonts w:ascii="Times New Roman" w:hAnsi="Times New Roman"/>
                <w:bCs/>
                <w:sz w:val="18"/>
                <w:szCs w:val="18"/>
              </w:rPr>
              <w:t>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55342509" w:rsidR="00BB3E43" w:rsidRPr="008D1BD9" w:rsidRDefault="008D1BD9" w:rsidP="008D1BD9">
            <w:pPr>
              <w:pStyle w:val="BodyText"/>
              <w:spacing w:before="0"/>
              <w:jc w:val="center"/>
              <w:rPr>
                <w:rFonts w:ascii="Times New Roman" w:hAnsi="Times New Roman"/>
                <w:bCs/>
                <w:sz w:val="18"/>
                <w:szCs w:val="18"/>
              </w:rPr>
            </w:pPr>
            <w:r w:rsidRPr="008D1BD9">
              <w:rPr>
                <w:rFonts w:ascii="Times New Roman" w:hAnsi="Times New Roman"/>
                <w:bCs/>
                <w:sz w:val="18"/>
                <w:szCs w:val="18"/>
              </w:rPr>
              <w:t>0</w:t>
            </w: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5B9B29C" w:rsidR="00181F3E" w:rsidRPr="00F41F91" w:rsidRDefault="008D1BD9"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lastRenderedPageBreak/>
              <w:t>Enterococci</w:t>
            </w:r>
          </w:p>
        </w:tc>
        <w:tc>
          <w:tcPr>
            <w:tcW w:w="1350" w:type="dxa"/>
          </w:tcPr>
          <w:p w14:paraId="60AE42FC" w14:textId="7C0853AC" w:rsidR="00181F3E" w:rsidRPr="00F41F91" w:rsidRDefault="008D1BD9"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302C048E" w:rsidR="00181F3E" w:rsidRPr="00F41F91" w:rsidRDefault="008D1BD9"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lastRenderedPageBreak/>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1" w:name="_Hlk534984154"/>
      <w:r w:rsidRPr="00CF2391">
        <w:rPr>
          <w:b/>
          <w:i/>
          <w:sz w:val="22"/>
          <w:szCs w:val="24"/>
          <w:u w:val="single"/>
        </w:rPr>
        <w:t>INSERT NUMBER OF LEVEL 1 ASSESSMENTS</w:t>
      </w:r>
      <w:bookmarkEnd w:id="1"/>
      <w:r w:rsidRPr="003C7E02">
        <w:rPr>
          <w:sz w:val="22"/>
          <w:szCs w:val="24"/>
        </w:rPr>
        <w:t>] Level 1 assessment(s) were completed.  In addition, we were required to take [</w:t>
      </w:r>
      <w:bookmarkStart w:id="2" w:name="_Hlk534984203"/>
      <w:r w:rsidRPr="00CF2391">
        <w:rPr>
          <w:b/>
          <w:i/>
          <w:sz w:val="22"/>
          <w:szCs w:val="24"/>
          <w:u w:val="single"/>
        </w:rPr>
        <w:t>INSERT NUMBER OF CORRECTIVE ACTIONS</w:t>
      </w:r>
      <w:bookmarkEnd w:id="2"/>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3" w:name="_Hlk535238544"/>
      <w:r w:rsidRPr="00D77322">
        <w:rPr>
          <w:b/>
          <w:i/>
          <w:sz w:val="22"/>
          <w:szCs w:val="24"/>
          <w:u w:val="single"/>
        </w:rPr>
        <w:t>INSERT NUMBER OF LEVEL 2 ASSESSMENTS</w:t>
      </w:r>
      <w:bookmarkEnd w:id="3"/>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4" w:name="_Hlk535238579"/>
      <w:r w:rsidRPr="008A2D78">
        <w:rPr>
          <w:b/>
          <w:i/>
          <w:sz w:val="22"/>
          <w:szCs w:val="24"/>
          <w:u w:val="single"/>
        </w:rPr>
        <w:t>INSERT NUMBER OF CORRECTIVE ACTIONS</w:t>
      </w:r>
      <w:bookmarkEnd w:id="4"/>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6ADC47B4" w14:textId="77777777" w:rsidR="00232B52" w:rsidRDefault="00232B52" w:rsidP="00C96627">
      <w:pPr>
        <w:spacing w:before="360" w:after="240"/>
        <w:jc w:val="center"/>
        <w:rPr>
          <w:b/>
          <w:sz w:val="24"/>
        </w:rPr>
      </w:pPr>
    </w:p>
    <w:p w14:paraId="4574BCFE" w14:textId="332D45D2"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5" w:name="_Hlk535238639"/>
      <w:r w:rsidRPr="008A2D78">
        <w:rPr>
          <w:b/>
          <w:i/>
          <w:sz w:val="22"/>
          <w:szCs w:val="22"/>
          <w:u w:val="single"/>
        </w:rPr>
        <w:t>INSERT NUMBER OF CORRECTIVE ACTIONS</w:t>
      </w:r>
      <w:bookmarkEnd w:id="5"/>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1826"/>
    <w:rsid w:val="00044344"/>
    <w:rsid w:val="000450D8"/>
    <w:rsid w:val="0004748A"/>
    <w:rsid w:val="00053BC0"/>
    <w:rsid w:val="000551F9"/>
    <w:rsid w:val="00065561"/>
    <w:rsid w:val="00073BE0"/>
    <w:rsid w:val="00074CBB"/>
    <w:rsid w:val="00085A69"/>
    <w:rsid w:val="000943DA"/>
    <w:rsid w:val="00094751"/>
    <w:rsid w:val="000A0596"/>
    <w:rsid w:val="000A08B0"/>
    <w:rsid w:val="000A0BCF"/>
    <w:rsid w:val="000B01EA"/>
    <w:rsid w:val="000B13CB"/>
    <w:rsid w:val="000B60F2"/>
    <w:rsid w:val="000B74BB"/>
    <w:rsid w:val="000C116D"/>
    <w:rsid w:val="000C16DD"/>
    <w:rsid w:val="000C1A52"/>
    <w:rsid w:val="000D2943"/>
    <w:rsid w:val="000D4AC7"/>
    <w:rsid w:val="000D5F2B"/>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58EA"/>
    <w:rsid w:val="00200ED0"/>
    <w:rsid w:val="002010C1"/>
    <w:rsid w:val="00207D7C"/>
    <w:rsid w:val="00214D2C"/>
    <w:rsid w:val="002166FF"/>
    <w:rsid w:val="00220240"/>
    <w:rsid w:val="00226E0C"/>
    <w:rsid w:val="00231E89"/>
    <w:rsid w:val="00232B52"/>
    <w:rsid w:val="0023302C"/>
    <w:rsid w:val="00243361"/>
    <w:rsid w:val="002436C8"/>
    <w:rsid w:val="00246D6E"/>
    <w:rsid w:val="0025510E"/>
    <w:rsid w:val="00256496"/>
    <w:rsid w:val="00264941"/>
    <w:rsid w:val="00273001"/>
    <w:rsid w:val="002856B8"/>
    <w:rsid w:val="00294205"/>
    <w:rsid w:val="002A20BB"/>
    <w:rsid w:val="002A3636"/>
    <w:rsid w:val="002A5C9F"/>
    <w:rsid w:val="002A6C3E"/>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68A3"/>
    <w:rsid w:val="003F72DC"/>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5C5D"/>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1BD9"/>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0398"/>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0E48"/>
    <w:rsid w:val="00BF1F49"/>
    <w:rsid w:val="00BF6946"/>
    <w:rsid w:val="00BF725D"/>
    <w:rsid w:val="00C123E3"/>
    <w:rsid w:val="00C20B5D"/>
    <w:rsid w:val="00C24336"/>
    <w:rsid w:val="00C24948"/>
    <w:rsid w:val="00C338CA"/>
    <w:rsid w:val="00C3526A"/>
    <w:rsid w:val="00C378A4"/>
    <w:rsid w:val="00C41E25"/>
    <w:rsid w:val="00C43468"/>
    <w:rsid w:val="00C45B4E"/>
    <w:rsid w:val="00C51D70"/>
    <w:rsid w:val="00C55FC5"/>
    <w:rsid w:val="00C6314A"/>
    <w:rsid w:val="00C649AA"/>
    <w:rsid w:val="00C77170"/>
    <w:rsid w:val="00C8032D"/>
    <w:rsid w:val="00C84016"/>
    <w:rsid w:val="00C945A7"/>
    <w:rsid w:val="00C952C9"/>
    <w:rsid w:val="00C96627"/>
    <w:rsid w:val="00CB5A7C"/>
    <w:rsid w:val="00CB6FF7"/>
    <w:rsid w:val="00CC0AC8"/>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06F1"/>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3C2E"/>
    <w:rsid w:val="00E6542D"/>
    <w:rsid w:val="00E67C01"/>
    <w:rsid w:val="00E80B80"/>
    <w:rsid w:val="00E8528D"/>
    <w:rsid w:val="00E91D0B"/>
    <w:rsid w:val="00E92E9C"/>
    <w:rsid w:val="00EA66F0"/>
    <w:rsid w:val="00EB0127"/>
    <w:rsid w:val="00EB2EBD"/>
    <w:rsid w:val="00EB3BEC"/>
    <w:rsid w:val="00EB4DD0"/>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300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Hector Gonzalez</cp:lastModifiedBy>
  <cp:revision>2</cp:revision>
  <cp:lastPrinted>2018-12-11T18:58:00Z</cp:lastPrinted>
  <dcterms:created xsi:type="dcterms:W3CDTF">2021-05-03T21:02:00Z</dcterms:created>
  <dcterms:modified xsi:type="dcterms:W3CDTF">2021-05-03T21:02:00Z</dcterms:modified>
</cp:coreProperties>
</file>