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975D75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972606">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659750B" w:rsidR="00BC6327" w:rsidRPr="00412B2F" w:rsidRDefault="00BA74D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Grey Butte </w:t>
            </w:r>
            <w:r w:rsidR="00CF51B8">
              <w:rPr>
                <w:b/>
                <w:sz w:val="21"/>
                <w:szCs w:val="21"/>
              </w:rPr>
              <w:t>1901000</w:t>
            </w:r>
            <w:bookmarkStart w:id="0" w:name="_GoBack"/>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C8514B3" w:rsidR="00BC6327" w:rsidRPr="00412B2F" w:rsidRDefault="00BA74D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06-29-2020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AE49A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A74DF">
        <w:rPr>
          <w:b/>
          <w:bCs/>
          <w:sz w:val="21"/>
          <w:szCs w:val="21"/>
          <w:lang w:val="es-MX"/>
        </w:rPr>
        <w:t xml:space="preserve">Grey Butte </w:t>
      </w:r>
      <w:r w:rsidRPr="00442D66">
        <w:rPr>
          <w:b/>
          <w:bCs/>
          <w:sz w:val="21"/>
          <w:szCs w:val="21"/>
          <w:lang w:val="es-MX"/>
        </w:rPr>
        <w:t xml:space="preserve">] a </w:t>
      </w:r>
      <w:r w:rsidR="00BA74DF">
        <w:rPr>
          <w:b/>
          <w:bCs/>
          <w:sz w:val="21"/>
          <w:szCs w:val="21"/>
          <w:lang w:val="es-MX"/>
        </w:rPr>
        <w:t>25500 East Avenue R-8 Palmdale, CA 93591</w:t>
      </w:r>
      <w:r w:rsidR="00BA74DF">
        <w:rPr>
          <w:b/>
          <w:bCs/>
          <w:i/>
          <w:sz w:val="21"/>
          <w:szCs w:val="21"/>
          <w:u w:val="single"/>
          <w:lang w:val="es-MX"/>
        </w:rPr>
        <w:t xml:space="preserve"> or 6612336000</w:t>
      </w:r>
      <w:r w:rsidRPr="00442D66">
        <w:rPr>
          <w:b/>
          <w:bCs/>
          <w:sz w:val="21"/>
          <w:szCs w:val="21"/>
          <w:lang w:val="es-MX"/>
        </w:rPr>
        <w:t xml:space="preserve"> para asistirlo en español.</w:t>
      </w:r>
    </w:p>
    <w:p w14:paraId="72C2ECD4" w14:textId="2444608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00BA74DF">
        <w:rPr>
          <w:rFonts w:ascii="PMingLiU" w:eastAsia="PMingLiU" w:hAnsi="PMingLiU" w:cs="PMingLiU"/>
          <w:b/>
          <w:bCs/>
          <w:sz w:val="21"/>
          <w:szCs w:val="21"/>
          <w:lang w:val="es-ES"/>
        </w:rPr>
        <w:t xml:space="preserve">Grey Butte </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BA74DF">
        <w:rPr>
          <w:rFonts w:ascii="PMingLiU" w:eastAsia="PMingLiU" w:hAnsi="PMingLiU" w:cs="PMingLiU"/>
          <w:b/>
          <w:bCs/>
          <w:sz w:val="21"/>
          <w:szCs w:val="21"/>
          <w:lang w:val="es-ES"/>
        </w:rPr>
        <w:t>25500 East Avenue R-8 Palmdale, CA 93591 661-233-6000</w:t>
      </w:r>
    </w:p>
    <w:p w14:paraId="7D3636E6" w14:textId="598FE6FE"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85505E">
        <w:rPr>
          <w:b/>
          <w:bCs/>
          <w:sz w:val="21"/>
          <w:szCs w:val="21"/>
          <w:lang w:val="es-ES"/>
        </w:rPr>
        <w:t xml:space="preserve">Grey Butte </w:t>
      </w:r>
      <w:r w:rsidRPr="008A64D8">
        <w:rPr>
          <w:b/>
          <w:bCs/>
          <w:sz w:val="21"/>
          <w:szCs w:val="21"/>
          <w:lang w:val="es-ES"/>
        </w:rPr>
        <w:t xml:space="preserve"> o tumawag sa </w:t>
      </w:r>
      <w:r w:rsidR="0085505E">
        <w:rPr>
          <w:b/>
          <w:bCs/>
          <w:sz w:val="21"/>
          <w:szCs w:val="21"/>
          <w:lang w:val="es-ES"/>
        </w:rPr>
        <w:t>661-233-6000</w:t>
      </w:r>
      <w:r w:rsidRPr="008A64D8">
        <w:rPr>
          <w:b/>
          <w:bCs/>
          <w:sz w:val="21"/>
          <w:szCs w:val="21"/>
          <w:lang w:val="es-ES"/>
        </w:rPr>
        <w:t xml:space="preserve"> para matulungan sa wikang Tagalog</w:t>
      </w:r>
      <w:r w:rsidR="002436C8" w:rsidRPr="00412B2F">
        <w:rPr>
          <w:b/>
          <w:bCs/>
          <w:sz w:val="21"/>
          <w:szCs w:val="21"/>
          <w:lang w:val="es-ES"/>
        </w:rPr>
        <w:t>.</w:t>
      </w:r>
    </w:p>
    <w:p w14:paraId="4C37EC14" w14:textId="265C671D"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85505E">
        <w:rPr>
          <w:b/>
          <w:bCs/>
          <w:sz w:val="21"/>
          <w:szCs w:val="21"/>
          <w:lang w:val="es-ES"/>
        </w:rPr>
        <w:t>Grey Butte  tại 25500 east avenue R-8Palmdale Ca 93591</w:t>
      </w:r>
      <w:r w:rsidR="0085505E">
        <w:rPr>
          <w:b/>
          <w:bCs/>
          <w:i/>
          <w:sz w:val="21"/>
          <w:szCs w:val="21"/>
          <w:u w:val="single"/>
          <w:lang w:val="es-MX"/>
        </w:rPr>
        <w:t xml:space="preserve"> or 661-233-6000</w:t>
      </w:r>
      <w:r w:rsidRPr="00412B2F">
        <w:rPr>
          <w:b/>
          <w:bCs/>
          <w:sz w:val="21"/>
          <w:szCs w:val="21"/>
          <w:lang w:val="es-ES"/>
        </w:rPr>
        <w:t xml:space="preserve"> để được hỗ trợ giúp bằng tiếng Việt.</w:t>
      </w:r>
    </w:p>
    <w:p w14:paraId="76F47AA3" w14:textId="73CE11F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85505E">
        <w:rPr>
          <w:b/>
          <w:bCs/>
          <w:sz w:val="21"/>
          <w:szCs w:val="21"/>
          <w:lang w:val="es-ES"/>
        </w:rPr>
        <w:t xml:space="preserve">Grey Butte </w:t>
      </w:r>
      <w:r w:rsidRPr="00412B2F">
        <w:rPr>
          <w:b/>
          <w:bCs/>
          <w:sz w:val="21"/>
          <w:szCs w:val="21"/>
          <w:lang w:val="es-ES"/>
        </w:rPr>
        <w:t xml:space="preserve"> ntawm </w:t>
      </w:r>
      <w:r w:rsidR="0085505E">
        <w:rPr>
          <w:b/>
          <w:bCs/>
          <w:sz w:val="21"/>
          <w:szCs w:val="21"/>
          <w:lang w:val="es-ES"/>
        </w:rPr>
        <w:t>25500 East Avenue R-8 Palmdale, CA 93591</w:t>
      </w:r>
      <w:r w:rsidR="0085505E">
        <w:rPr>
          <w:b/>
          <w:bCs/>
          <w:i/>
          <w:sz w:val="21"/>
          <w:szCs w:val="21"/>
          <w:u w:val="single"/>
          <w:lang w:val="es-MX"/>
        </w:rPr>
        <w:t xml:space="preserve"> or 661-233-6000</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8915CA4" w:rsidR="00BC6327" w:rsidRPr="00412B2F" w:rsidRDefault="002235F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B57E744" w:rsidR="00BC6327" w:rsidRPr="00412B2F" w:rsidRDefault="002235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Grey Butte water system</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7D432" w:rsidR="00BC6327" w:rsidRPr="00412B2F" w:rsidRDefault="002235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A52D78A" w:rsidR="00BC6327" w:rsidRPr="00412B2F" w:rsidRDefault="002235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2235FC">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Pr>
          <w:p w14:paraId="666A69D2" w14:textId="133909BE" w:rsidR="00BC6327" w:rsidRPr="00412B2F" w:rsidRDefault="002235F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Brandon Nelson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6E03DDD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2235FC">
              <w:rPr>
                <w:sz w:val="21"/>
                <w:szCs w:val="21"/>
              </w:rPr>
              <w:t>661</w:t>
            </w:r>
            <w:r w:rsidRPr="008E4080">
              <w:rPr>
                <w:sz w:val="21"/>
                <w:szCs w:val="21"/>
              </w:rPr>
              <w:t xml:space="preserve">  )</w:t>
            </w:r>
            <w:r w:rsidR="002235FC">
              <w:rPr>
                <w:sz w:val="21"/>
                <w:szCs w:val="21"/>
              </w:rPr>
              <w:t xml:space="preserve"> 618-7087</w:t>
            </w:r>
          </w:p>
        </w:tc>
      </w:tr>
      <w:tr w:rsidR="002235FC" w:rsidRPr="00412B2F" w14:paraId="0BB07A0F" w14:textId="77777777" w:rsidTr="00896E02">
        <w:trPr>
          <w:cantSplit/>
        </w:trPr>
        <w:tc>
          <w:tcPr>
            <w:tcW w:w="2880" w:type="dxa"/>
          </w:tcPr>
          <w:p w14:paraId="6196B562" w14:textId="77777777" w:rsidR="002235FC" w:rsidRPr="00412B2F" w:rsidRDefault="002235FC" w:rsidP="002235F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4320" w:type="dxa"/>
            <w:gridSpan w:val="5"/>
            <w:tcBorders>
              <w:bottom w:val="single" w:sz="4" w:space="0" w:color="auto"/>
            </w:tcBorders>
          </w:tcPr>
          <w:p w14:paraId="6DB94B56" w14:textId="77777777" w:rsidR="002235FC" w:rsidRDefault="002235F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810" w:type="dxa"/>
          </w:tcPr>
          <w:p w14:paraId="788C212B" w14:textId="77777777" w:rsidR="002235FC" w:rsidRPr="00412B2F" w:rsidRDefault="002235FC"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p>
        </w:tc>
        <w:tc>
          <w:tcPr>
            <w:tcW w:w="2790" w:type="dxa"/>
            <w:tcBorders>
              <w:bottom w:val="single" w:sz="4" w:space="0" w:color="auto"/>
            </w:tcBorders>
          </w:tcPr>
          <w:p w14:paraId="32E1636F" w14:textId="77777777" w:rsidR="002235FC" w:rsidRPr="008E4080" w:rsidRDefault="002235F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45268087" w14:textId="336CC41A" w:rsidR="00900CB8" w:rsidRPr="002235FC" w:rsidRDefault="00900CB8" w:rsidP="002235FC">
      <w:pPr>
        <w:rPr>
          <w:sz w:val="22"/>
        </w:rPr>
        <w:sectPr w:rsidR="00900CB8" w:rsidRPr="002235FC"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7777777" w:rsidR="00BC6327" w:rsidRPr="00F41F91" w:rsidRDefault="00BC6327" w:rsidP="00383730">
            <w:pPr>
              <w:jc w:val="center"/>
              <w:rPr>
                <w:sz w:val="18"/>
                <w:szCs w:val="18"/>
              </w:rPr>
            </w:pP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3161B24" w:rsidR="00B3023D" w:rsidRPr="00F41F91" w:rsidRDefault="002235FC" w:rsidP="009C6436">
            <w:pPr>
              <w:jc w:val="center"/>
              <w:rPr>
                <w:sz w:val="18"/>
              </w:rPr>
            </w:pPr>
            <w:r>
              <w:rPr>
                <w:sz w:val="18"/>
              </w:rPr>
              <w:t>09/20/2018</w:t>
            </w:r>
          </w:p>
        </w:tc>
        <w:tc>
          <w:tcPr>
            <w:tcW w:w="1350" w:type="dxa"/>
            <w:tcBorders>
              <w:top w:val="nil"/>
              <w:bottom w:val="single" w:sz="4" w:space="0" w:color="auto"/>
            </w:tcBorders>
          </w:tcPr>
          <w:p w14:paraId="690B0D1C" w14:textId="0885BC5A" w:rsidR="00B3023D" w:rsidRPr="00F41F91" w:rsidRDefault="002235FC" w:rsidP="009C6436">
            <w:pPr>
              <w:jc w:val="center"/>
              <w:rPr>
                <w:sz w:val="18"/>
              </w:rPr>
            </w:pPr>
            <w:r>
              <w:rPr>
                <w:sz w:val="18"/>
              </w:rPr>
              <w:t>210</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2FA3E7E" w:rsidR="00B3023D" w:rsidRPr="00F41F91" w:rsidRDefault="002235FC" w:rsidP="002235FC">
            <w:pPr>
              <w:rPr>
                <w:sz w:val="18"/>
              </w:rPr>
            </w:pPr>
            <w:r>
              <w:rPr>
                <w:sz w:val="18"/>
              </w:rPr>
              <w:t>09/20/2018</w:t>
            </w:r>
          </w:p>
        </w:tc>
        <w:tc>
          <w:tcPr>
            <w:tcW w:w="1350" w:type="dxa"/>
            <w:tcBorders>
              <w:bottom w:val="single" w:sz="18" w:space="0" w:color="auto"/>
            </w:tcBorders>
          </w:tcPr>
          <w:p w14:paraId="5F571C45" w14:textId="644D5E3A" w:rsidR="00B3023D" w:rsidRPr="00F41F91" w:rsidRDefault="002235FC" w:rsidP="009C6436">
            <w:pPr>
              <w:jc w:val="center"/>
              <w:rPr>
                <w:sz w:val="18"/>
              </w:rPr>
            </w:pPr>
            <w:r>
              <w:rPr>
                <w:sz w:val="18"/>
              </w:rPr>
              <w:t>240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8C33535" w:rsidR="00BC6327" w:rsidRPr="00F41F91" w:rsidRDefault="002235FC" w:rsidP="00D057C3">
            <w:pPr>
              <w:ind w:left="180"/>
              <w:rPr>
                <w:sz w:val="18"/>
              </w:rPr>
            </w:pPr>
            <w:r>
              <w:rPr>
                <w:sz w:val="18"/>
              </w:rPr>
              <w:t>N/A</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D146736" w:rsidR="00BC6327" w:rsidRPr="00F41F91" w:rsidRDefault="002235FC"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F061518" w:rsidR="000C16DD" w:rsidRPr="00F41F91" w:rsidRDefault="002235FC"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B6904AD" w:rsidR="00501B52" w:rsidRPr="00F41F91" w:rsidRDefault="00E52088" w:rsidP="00E52088">
            <w:pPr>
              <w:pStyle w:val="BodyText"/>
              <w:tabs>
                <w:tab w:val="left" w:pos="3915"/>
              </w:tabs>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2584A7E6" w:rsidR="00AD4876" w:rsidRPr="00F41F91" w:rsidRDefault="00E52088" w:rsidP="00E52088">
            <w:pPr>
              <w:pStyle w:val="BodyText"/>
              <w:tabs>
                <w:tab w:val="left" w:pos="4200"/>
              </w:tabs>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5D2F369" w:rsidR="00C24948" w:rsidRPr="00F41F91" w:rsidRDefault="00E52088"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157BB47C" w:rsidR="00C24948" w:rsidRPr="00F41F91" w:rsidRDefault="00E52088"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6CD9DA0" w:rsidR="00883433" w:rsidRPr="00F41F91" w:rsidRDefault="00E52088"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12FAD3B3" w:rsidR="00883433" w:rsidRPr="00F41F91" w:rsidRDefault="00E52088"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6F7B518A" w:rsidR="00883433" w:rsidRPr="00F41F91" w:rsidRDefault="00E52088"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7F5E" w14:textId="77777777" w:rsidR="005B699F" w:rsidRDefault="005B699F">
      <w:r>
        <w:separator/>
      </w:r>
    </w:p>
  </w:endnote>
  <w:endnote w:type="continuationSeparator" w:id="0">
    <w:p w14:paraId="25919665" w14:textId="77777777" w:rsidR="005B699F" w:rsidRDefault="005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CA469" w14:textId="77777777" w:rsidR="005B699F" w:rsidRDefault="005B699F">
      <w:r>
        <w:separator/>
      </w:r>
    </w:p>
  </w:footnote>
  <w:footnote w:type="continuationSeparator" w:id="0">
    <w:p w14:paraId="6EC417B4" w14:textId="77777777" w:rsidR="005B699F" w:rsidRDefault="005B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545CA7FC"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76491">
      <w:rPr>
        <w:rStyle w:val="PageNumber"/>
        <w:i/>
        <w:noProof/>
        <w:u w:val="single"/>
      </w:rPr>
      <w:t>7</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4EA8979"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C0D01">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C0D01">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5FC"/>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6E0D"/>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699F"/>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491"/>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05E"/>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2606"/>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4DF"/>
    <w:rsid w:val="00BB3E43"/>
    <w:rsid w:val="00BB412C"/>
    <w:rsid w:val="00BC0D01"/>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0F3E"/>
    <w:rsid w:val="00CB5A7C"/>
    <w:rsid w:val="00CB6FF7"/>
    <w:rsid w:val="00CC2F86"/>
    <w:rsid w:val="00CD26F1"/>
    <w:rsid w:val="00CD598A"/>
    <w:rsid w:val="00CE2D72"/>
    <w:rsid w:val="00CF1A7D"/>
    <w:rsid w:val="00CF2391"/>
    <w:rsid w:val="00CF51B8"/>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2088"/>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Nelson, Brandon</cp:lastModifiedBy>
  <cp:revision>2</cp:revision>
  <cp:lastPrinted>2020-06-30T13:02:00Z</cp:lastPrinted>
  <dcterms:created xsi:type="dcterms:W3CDTF">2020-09-30T21:37:00Z</dcterms:created>
  <dcterms:modified xsi:type="dcterms:W3CDTF">2020-09-30T21:37:00Z</dcterms:modified>
</cp:coreProperties>
</file>