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B0097D0" w14:textId="77777777" w:rsidR="000364B8" w:rsidRPr="007119B8" w:rsidRDefault="000364B8" w:rsidP="000364B8">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IBY, LLC</w:t>
      </w:r>
    </w:p>
    <w:p w14:paraId="40CCE426" w14:textId="77777777" w:rsidR="000364B8" w:rsidRPr="007119B8" w:rsidRDefault="000364B8" w:rsidP="000364B8">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6/30/2022</w:t>
      </w:r>
    </w:p>
    <w:p w14:paraId="0F595AA0" w14:textId="77777777" w:rsidR="000364B8" w:rsidRPr="005F082E" w:rsidRDefault="000364B8" w:rsidP="000364B8">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Municipal Water and Well Water</w:t>
      </w:r>
    </w:p>
    <w:p w14:paraId="71F67746" w14:textId="77777777" w:rsidR="000364B8" w:rsidRPr="005F082E" w:rsidRDefault="000364B8" w:rsidP="000364B8">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City of Azusa and Well No. 2 (NE Corner of Property)</w:t>
      </w:r>
    </w:p>
    <w:p w14:paraId="2E93C2AA" w14:textId="77777777" w:rsidR="000364B8" w:rsidRPr="005F082E" w:rsidRDefault="000364B8" w:rsidP="000364B8">
      <w:pPr>
        <w:spacing w:after="240"/>
        <w:rPr>
          <w:rFonts w:ascii="Arial" w:hAnsi="Arial" w:cs="Arial"/>
          <w:sz w:val="24"/>
          <w:szCs w:val="24"/>
        </w:rPr>
      </w:pPr>
      <w:r w:rsidRPr="005F082E">
        <w:rPr>
          <w:rFonts w:ascii="Arial" w:hAnsi="Arial" w:cs="Arial"/>
          <w:sz w:val="24"/>
          <w:szCs w:val="24"/>
        </w:rPr>
        <w:t xml:space="preserve">Drinking Water Source Assessment Information: </w:t>
      </w:r>
      <w:r w:rsidRPr="00EE0614">
        <w:rPr>
          <w:rFonts w:ascii="Arial" w:hAnsi="Arial" w:cs="Arial"/>
          <w:sz w:val="24"/>
          <w:szCs w:val="24"/>
        </w:rPr>
        <w:t>Drinking Water Source Assessment prepared October 2008, updated</w:t>
      </w:r>
      <w:r>
        <w:rPr>
          <w:rFonts w:ascii="Arial" w:hAnsi="Arial" w:cs="Arial"/>
          <w:sz w:val="24"/>
          <w:szCs w:val="24"/>
        </w:rPr>
        <w:t xml:space="preserve"> </w:t>
      </w:r>
      <w:r w:rsidRPr="00EE0614">
        <w:rPr>
          <w:rFonts w:ascii="Arial" w:hAnsi="Arial" w:cs="Arial"/>
          <w:sz w:val="24"/>
          <w:szCs w:val="24"/>
        </w:rPr>
        <w:t>January 2011 available at Los Angeles County Department of Public Health. Miller Coors Well No. 2 does not appear to</w:t>
      </w:r>
      <w:r>
        <w:rPr>
          <w:rFonts w:ascii="Arial" w:hAnsi="Arial" w:cs="Arial"/>
          <w:sz w:val="24"/>
          <w:szCs w:val="24"/>
        </w:rPr>
        <w:t xml:space="preserve"> </w:t>
      </w:r>
      <w:r w:rsidRPr="00EE0614">
        <w:rPr>
          <w:rFonts w:ascii="Arial" w:hAnsi="Arial" w:cs="Arial"/>
          <w:sz w:val="24"/>
          <w:szCs w:val="24"/>
        </w:rPr>
        <w:t>be vulnerable to contaminants. Concentrations of nitrates during 2019 testing were below the maximum contaminant</w:t>
      </w:r>
      <w:r>
        <w:rPr>
          <w:rFonts w:ascii="Arial" w:hAnsi="Arial" w:cs="Arial"/>
          <w:sz w:val="24"/>
          <w:szCs w:val="24"/>
        </w:rPr>
        <w:t xml:space="preserve"> </w:t>
      </w:r>
      <w:r w:rsidRPr="00EE0614">
        <w:rPr>
          <w:rFonts w:ascii="Arial" w:hAnsi="Arial" w:cs="Arial"/>
          <w:sz w:val="24"/>
          <w:szCs w:val="24"/>
        </w:rPr>
        <w:t>levels (MCLS). Volatile Organic Compounds (VOCs) are non-detect. MillerCoors Well No. 02 is in proximity to</w:t>
      </w:r>
      <w:r>
        <w:rPr>
          <w:rFonts w:ascii="Arial" w:hAnsi="Arial" w:cs="Arial"/>
          <w:sz w:val="24"/>
          <w:szCs w:val="24"/>
        </w:rPr>
        <w:t xml:space="preserve"> </w:t>
      </w:r>
      <w:r w:rsidRPr="00EE0614">
        <w:rPr>
          <w:rFonts w:ascii="Arial" w:hAnsi="Arial" w:cs="Arial"/>
          <w:sz w:val="24"/>
          <w:szCs w:val="24"/>
        </w:rPr>
        <w:t xml:space="preserve">Possible </w:t>
      </w:r>
      <w:r>
        <w:rPr>
          <w:rFonts w:ascii="Arial" w:hAnsi="Arial" w:cs="Arial"/>
          <w:sz w:val="24"/>
          <w:szCs w:val="24"/>
        </w:rPr>
        <w:t>C</w:t>
      </w:r>
      <w:r w:rsidRPr="00EE0614">
        <w:rPr>
          <w:rFonts w:ascii="Arial" w:hAnsi="Arial" w:cs="Arial"/>
          <w:sz w:val="24"/>
          <w:szCs w:val="24"/>
        </w:rPr>
        <w:t>ontaminating Activities (PCAs) and the well is sampled for nitrates and Title 22 VOCs to monitor for impacts</w:t>
      </w:r>
      <w:r>
        <w:rPr>
          <w:rFonts w:ascii="Arial" w:hAnsi="Arial" w:cs="Arial"/>
          <w:sz w:val="24"/>
          <w:szCs w:val="24"/>
        </w:rPr>
        <w:t xml:space="preserve"> </w:t>
      </w:r>
      <w:r w:rsidRPr="00EE0614">
        <w:rPr>
          <w:rFonts w:ascii="Arial" w:hAnsi="Arial" w:cs="Arial"/>
          <w:sz w:val="24"/>
          <w:szCs w:val="24"/>
        </w:rPr>
        <w:t>of PCAs.</w:t>
      </w:r>
    </w:p>
    <w:p w14:paraId="470B624F" w14:textId="77777777" w:rsidR="000364B8" w:rsidRPr="005F082E" w:rsidRDefault="000364B8" w:rsidP="000364B8">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75FE9EF" w14:textId="1AC738DC" w:rsidR="004263A6" w:rsidRPr="005162DE" w:rsidRDefault="000364B8" w:rsidP="000364B8">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Lucien Mauge, EHS Manager, (626) 815-7524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732D833" w:rsidR="00BC6327" w:rsidRPr="005162DE" w:rsidRDefault="000364B8"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IBY, LLC</w:t>
      </w:r>
      <w:r w:rsidRPr="0050755D">
        <w:rPr>
          <w:rFonts w:ascii="Arial" w:hAnsi="Arial" w:cs="Arial"/>
          <w:sz w:val="24"/>
          <w:szCs w:val="24"/>
          <w:lang w:val="es-MX"/>
        </w:rPr>
        <w:t xml:space="preserve"> a </w:t>
      </w:r>
      <w:r>
        <w:rPr>
          <w:rFonts w:ascii="Arial" w:hAnsi="Arial" w:cs="Arial"/>
          <w:sz w:val="24"/>
          <w:szCs w:val="24"/>
          <w:lang w:val="es-MX"/>
        </w:rPr>
        <w:t xml:space="preserve">15801 </w:t>
      </w:r>
      <w:proofErr w:type="spellStart"/>
      <w:r>
        <w:rPr>
          <w:rFonts w:ascii="Arial" w:hAnsi="Arial" w:cs="Arial"/>
          <w:sz w:val="24"/>
          <w:szCs w:val="24"/>
          <w:lang w:val="es-MX"/>
        </w:rPr>
        <w:t>First</w:t>
      </w:r>
      <w:proofErr w:type="spellEnd"/>
      <w:r>
        <w:rPr>
          <w:rFonts w:ascii="Arial" w:hAnsi="Arial" w:cs="Arial"/>
          <w:sz w:val="24"/>
          <w:szCs w:val="24"/>
          <w:lang w:val="es-MX"/>
        </w:rPr>
        <w:t xml:space="preserve"> Street, </w:t>
      </w:r>
      <w:proofErr w:type="spellStart"/>
      <w:r>
        <w:rPr>
          <w:rFonts w:ascii="Arial" w:hAnsi="Arial" w:cs="Arial"/>
          <w:sz w:val="24"/>
          <w:szCs w:val="24"/>
          <w:lang w:val="es-MX"/>
        </w:rPr>
        <w:t>Irwindale</w:t>
      </w:r>
      <w:proofErr w:type="spellEnd"/>
      <w:r>
        <w:rPr>
          <w:rFonts w:ascii="Arial" w:hAnsi="Arial" w:cs="Arial"/>
          <w:sz w:val="24"/>
          <w:szCs w:val="24"/>
          <w:lang w:val="es-MX"/>
        </w:rPr>
        <w:t>, CA 91706</w:t>
      </w:r>
      <w:r w:rsidRPr="0050755D">
        <w:rPr>
          <w:rFonts w:ascii="Arial" w:hAnsi="Arial" w:cs="Arial"/>
          <w:sz w:val="24"/>
          <w:szCs w:val="24"/>
          <w:lang w:val="es-MX"/>
        </w:rPr>
        <w:t xml:space="preserve"> para asistirlo en español.</w:t>
      </w:r>
    </w:p>
    <w:p w14:paraId="79A96FF7" w14:textId="77777777" w:rsidR="000364B8" w:rsidRPr="00D10A7C" w:rsidRDefault="000364B8" w:rsidP="000364B8">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eastAsia="PMingLiU" w:hAnsi="Arial" w:cs="Arial"/>
          <w:sz w:val="24"/>
          <w:szCs w:val="24"/>
        </w:rPr>
        <w:t xml:space="preserve">IBY, LLC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15801 First Street, Irwindale, CA 91706</w:t>
      </w:r>
      <w:r w:rsidRPr="00D10A7C">
        <w:rPr>
          <w:rFonts w:ascii="Arial" w:eastAsia="PMingLiU" w:hAnsi="Arial" w:cs="Arial"/>
          <w:sz w:val="24"/>
          <w:szCs w:val="24"/>
        </w:rPr>
        <w:t>.</w:t>
      </w:r>
    </w:p>
    <w:p w14:paraId="743945FF" w14:textId="77777777" w:rsidR="000364B8" w:rsidRPr="00D10A7C" w:rsidRDefault="000364B8" w:rsidP="000364B8">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Name and Address]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Phone Number]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543F3DCC" w14:textId="77777777" w:rsidR="000364B8" w:rsidRPr="00D10A7C" w:rsidRDefault="000364B8" w:rsidP="000364B8">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IBY, LLC</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15801 First Street, Irwindale, CA 91706</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76F47AA3" w14:textId="1932A62F" w:rsidR="006537F6" w:rsidRPr="005162DE" w:rsidRDefault="000364B8" w:rsidP="000364B8">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IBY, LLC</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15801 First Street, Irwindale, CA 91706</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F109602" w:rsidR="008572DA" w:rsidRPr="005162DE" w:rsidRDefault="000364B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28B6A7" w:rsidR="00095AAC" w:rsidRPr="005162DE" w:rsidRDefault="000364B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253A3B" w:rsidR="00D73637" w:rsidRPr="005162DE" w:rsidRDefault="00420825"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02D5A02" w14:textId="38A2DBAD" w:rsidR="00D73637" w:rsidRPr="005162DE" w:rsidRDefault="0042082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F18A484" w:rsidR="00D73637" w:rsidRPr="005162DE" w:rsidRDefault="005F5D7A" w:rsidP="00960466">
            <w:pPr>
              <w:spacing w:before="40" w:after="40"/>
              <w:jc w:val="center"/>
              <w:rPr>
                <w:rFonts w:ascii="Arial" w:hAnsi="Arial" w:cs="Arial"/>
                <w:sz w:val="24"/>
                <w:szCs w:val="24"/>
              </w:rPr>
            </w:pPr>
            <w:r>
              <w:rPr>
                <w:rFonts w:ascii="Arial" w:hAnsi="Arial" w:cs="Arial"/>
                <w:sz w:val="24"/>
                <w:szCs w:val="24"/>
              </w:rPr>
              <w:t>2.0</w:t>
            </w:r>
          </w:p>
        </w:tc>
        <w:tc>
          <w:tcPr>
            <w:tcW w:w="1021" w:type="dxa"/>
            <w:tcMar>
              <w:left w:w="86" w:type="dxa"/>
              <w:right w:w="86" w:type="dxa"/>
            </w:tcMar>
          </w:tcPr>
          <w:p w14:paraId="308535F4" w14:textId="764501BF" w:rsidR="00D73637" w:rsidRPr="005162DE" w:rsidRDefault="00940EA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BFA0426" w:rsidR="00D73637" w:rsidRPr="005162DE" w:rsidRDefault="00420825" w:rsidP="00FC33C4">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42CEE2F3" w14:textId="513F7D58" w:rsidR="00D73637" w:rsidRPr="005162DE" w:rsidRDefault="0042082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0291955" w:rsidR="00D73637" w:rsidRPr="005162DE" w:rsidRDefault="00B6514B" w:rsidP="00FC33C4">
            <w:pPr>
              <w:spacing w:before="40" w:after="40"/>
              <w:jc w:val="center"/>
              <w:rPr>
                <w:rFonts w:ascii="Arial" w:hAnsi="Arial" w:cs="Arial"/>
                <w:sz w:val="24"/>
                <w:szCs w:val="24"/>
              </w:rPr>
            </w:pPr>
            <w:r>
              <w:rPr>
                <w:rFonts w:ascii="Arial" w:hAnsi="Arial" w:cs="Arial"/>
                <w:sz w:val="24"/>
                <w:szCs w:val="24"/>
              </w:rPr>
              <w:t>0</w:t>
            </w:r>
            <w:r w:rsidR="005F5D7A">
              <w:rPr>
                <w:rFonts w:ascii="Arial" w:hAnsi="Arial" w:cs="Arial"/>
                <w:sz w:val="24"/>
                <w:szCs w:val="24"/>
              </w:rPr>
              <w:t>.13</w:t>
            </w:r>
          </w:p>
        </w:tc>
        <w:tc>
          <w:tcPr>
            <w:tcW w:w="1021" w:type="dxa"/>
            <w:tcMar>
              <w:left w:w="86" w:type="dxa"/>
              <w:right w:w="86" w:type="dxa"/>
            </w:tcMar>
          </w:tcPr>
          <w:p w14:paraId="1AE57BBF" w14:textId="5060E37D" w:rsidR="00D73637" w:rsidRPr="005162DE" w:rsidRDefault="00940EA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364B8" w:rsidRPr="005162DE" w14:paraId="0E0C1E93" w14:textId="77777777" w:rsidTr="002D3FB5">
        <w:trPr>
          <w:trHeight w:val="432"/>
        </w:trPr>
        <w:tc>
          <w:tcPr>
            <w:tcW w:w="2250" w:type="dxa"/>
          </w:tcPr>
          <w:p w14:paraId="66AD9F49" w14:textId="77777777" w:rsidR="000364B8" w:rsidRPr="005162DE" w:rsidRDefault="000364B8" w:rsidP="000364B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75BFC1" w:rsidR="000364B8" w:rsidRPr="005162DE" w:rsidRDefault="000364B8" w:rsidP="000364B8">
            <w:pPr>
              <w:spacing w:before="40" w:after="40"/>
              <w:jc w:val="center"/>
              <w:rPr>
                <w:rFonts w:ascii="Arial" w:hAnsi="Arial" w:cs="Arial"/>
                <w:sz w:val="24"/>
                <w:szCs w:val="24"/>
              </w:rPr>
            </w:pPr>
            <w:r w:rsidRPr="00032A99">
              <w:rPr>
                <w:rFonts w:ascii="Arial" w:hAnsi="Arial" w:cs="Arial"/>
                <w:sz w:val="24"/>
                <w:szCs w:val="24"/>
              </w:rPr>
              <w:t>5/24/11</w:t>
            </w:r>
          </w:p>
        </w:tc>
        <w:tc>
          <w:tcPr>
            <w:tcW w:w="1260" w:type="dxa"/>
            <w:tcMar>
              <w:left w:w="58" w:type="dxa"/>
              <w:right w:w="58" w:type="dxa"/>
            </w:tcMar>
          </w:tcPr>
          <w:p w14:paraId="690B0D1C" w14:textId="00283B3E" w:rsidR="000364B8" w:rsidRPr="005162DE" w:rsidRDefault="000364B8" w:rsidP="000364B8">
            <w:pPr>
              <w:spacing w:before="40" w:after="40"/>
              <w:jc w:val="center"/>
              <w:rPr>
                <w:rFonts w:ascii="Arial" w:hAnsi="Arial" w:cs="Arial"/>
                <w:sz w:val="24"/>
                <w:szCs w:val="24"/>
              </w:rPr>
            </w:pPr>
            <w:r w:rsidRPr="00032A99">
              <w:rPr>
                <w:rFonts w:ascii="Arial" w:hAnsi="Arial" w:cs="Arial"/>
                <w:sz w:val="24"/>
                <w:szCs w:val="24"/>
              </w:rPr>
              <w:t>21</w:t>
            </w:r>
          </w:p>
        </w:tc>
        <w:tc>
          <w:tcPr>
            <w:tcW w:w="1530" w:type="dxa"/>
            <w:tcMar>
              <w:left w:w="58" w:type="dxa"/>
              <w:right w:w="58" w:type="dxa"/>
            </w:tcMar>
          </w:tcPr>
          <w:p w14:paraId="6802CC34" w14:textId="0D3CB22D" w:rsidR="000364B8" w:rsidRPr="005162DE" w:rsidRDefault="000364B8" w:rsidP="000364B8">
            <w:pPr>
              <w:spacing w:before="40" w:after="40"/>
              <w:jc w:val="center"/>
              <w:rPr>
                <w:rFonts w:ascii="Arial" w:hAnsi="Arial" w:cs="Arial"/>
                <w:sz w:val="24"/>
                <w:szCs w:val="24"/>
              </w:rPr>
            </w:pPr>
            <w:r w:rsidRPr="00032A99">
              <w:rPr>
                <w:rFonts w:ascii="Arial" w:hAnsi="Arial" w:cs="Arial"/>
                <w:sz w:val="24"/>
                <w:szCs w:val="24"/>
              </w:rPr>
              <w:t>N/A</w:t>
            </w:r>
          </w:p>
        </w:tc>
        <w:tc>
          <w:tcPr>
            <w:tcW w:w="810" w:type="dxa"/>
            <w:tcMar>
              <w:left w:w="58" w:type="dxa"/>
              <w:right w:w="58" w:type="dxa"/>
            </w:tcMar>
          </w:tcPr>
          <w:p w14:paraId="4E60C959" w14:textId="597E1802" w:rsidR="000364B8" w:rsidRPr="005162DE" w:rsidRDefault="000364B8" w:rsidP="000364B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28349C1B" w:rsidR="000364B8" w:rsidRPr="005162DE" w:rsidRDefault="000364B8" w:rsidP="000364B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0364B8" w:rsidRPr="005162DE" w:rsidRDefault="000364B8" w:rsidP="000364B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364B8" w:rsidRPr="005162DE" w14:paraId="2ACD2463" w14:textId="77777777" w:rsidTr="002D3FB5">
        <w:tc>
          <w:tcPr>
            <w:tcW w:w="2250" w:type="dxa"/>
          </w:tcPr>
          <w:p w14:paraId="01FDA3CE" w14:textId="77777777" w:rsidR="000364B8" w:rsidRPr="005162DE" w:rsidRDefault="000364B8" w:rsidP="000364B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BF2BF4F" w:rsidR="000364B8" w:rsidRPr="005162DE" w:rsidRDefault="000364B8" w:rsidP="000364B8">
            <w:pPr>
              <w:spacing w:before="40" w:after="40"/>
              <w:jc w:val="center"/>
              <w:rPr>
                <w:rFonts w:ascii="Arial" w:hAnsi="Arial" w:cs="Arial"/>
                <w:sz w:val="24"/>
                <w:szCs w:val="24"/>
              </w:rPr>
            </w:pPr>
            <w:r w:rsidRPr="00032A99">
              <w:rPr>
                <w:rFonts w:ascii="Arial" w:hAnsi="Arial" w:cs="Arial"/>
                <w:sz w:val="24"/>
                <w:szCs w:val="24"/>
              </w:rPr>
              <w:t>5/24/11</w:t>
            </w:r>
          </w:p>
        </w:tc>
        <w:tc>
          <w:tcPr>
            <w:tcW w:w="1260" w:type="dxa"/>
            <w:tcMar>
              <w:left w:w="58" w:type="dxa"/>
              <w:right w:w="58" w:type="dxa"/>
            </w:tcMar>
          </w:tcPr>
          <w:p w14:paraId="5F571C45" w14:textId="65EE7126" w:rsidR="000364B8" w:rsidRPr="005162DE" w:rsidRDefault="000364B8" w:rsidP="000364B8">
            <w:pPr>
              <w:spacing w:before="40" w:after="40"/>
              <w:jc w:val="center"/>
              <w:rPr>
                <w:rFonts w:ascii="Arial" w:hAnsi="Arial" w:cs="Arial"/>
                <w:sz w:val="24"/>
                <w:szCs w:val="24"/>
              </w:rPr>
            </w:pPr>
            <w:r w:rsidRPr="00032A99">
              <w:rPr>
                <w:rFonts w:ascii="Arial" w:hAnsi="Arial" w:cs="Arial"/>
                <w:sz w:val="24"/>
                <w:szCs w:val="24"/>
              </w:rPr>
              <w:t>170</w:t>
            </w:r>
          </w:p>
        </w:tc>
        <w:tc>
          <w:tcPr>
            <w:tcW w:w="1530" w:type="dxa"/>
            <w:tcMar>
              <w:left w:w="58" w:type="dxa"/>
              <w:right w:w="58" w:type="dxa"/>
            </w:tcMar>
          </w:tcPr>
          <w:p w14:paraId="2BE476FB" w14:textId="15805D14" w:rsidR="000364B8" w:rsidRPr="005162DE" w:rsidRDefault="000364B8" w:rsidP="000364B8">
            <w:pPr>
              <w:spacing w:before="40" w:after="40"/>
              <w:jc w:val="center"/>
              <w:rPr>
                <w:rFonts w:ascii="Arial" w:hAnsi="Arial" w:cs="Arial"/>
                <w:sz w:val="24"/>
                <w:szCs w:val="24"/>
              </w:rPr>
            </w:pPr>
            <w:r w:rsidRPr="00032A99">
              <w:rPr>
                <w:rFonts w:ascii="Arial" w:hAnsi="Arial" w:cs="Arial"/>
                <w:sz w:val="24"/>
                <w:szCs w:val="24"/>
              </w:rPr>
              <w:t>N/A</w:t>
            </w:r>
          </w:p>
        </w:tc>
        <w:tc>
          <w:tcPr>
            <w:tcW w:w="810" w:type="dxa"/>
            <w:tcMar>
              <w:left w:w="58" w:type="dxa"/>
              <w:right w:w="58" w:type="dxa"/>
            </w:tcMar>
          </w:tcPr>
          <w:p w14:paraId="76B554F2" w14:textId="4D987B3F" w:rsidR="000364B8" w:rsidRPr="005162DE" w:rsidRDefault="000364B8" w:rsidP="000364B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0763139F" w:rsidR="000364B8" w:rsidRPr="005162DE" w:rsidRDefault="000364B8" w:rsidP="000364B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0364B8" w:rsidRPr="005162DE" w:rsidRDefault="000364B8" w:rsidP="000364B8">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364B8" w:rsidRPr="005162DE" w14:paraId="7C96DD6F" w14:textId="77777777" w:rsidTr="002D3FB5">
        <w:trPr>
          <w:trHeight w:val="432"/>
        </w:trPr>
        <w:tc>
          <w:tcPr>
            <w:tcW w:w="2245" w:type="dxa"/>
            <w:tcMar>
              <w:left w:w="58" w:type="dxa"/>
              <w:right w:w="58" w:type="dxa"/>
            </w:tcMar>
          </w:tcPr>
          <w:p w14:paraId="29E71AAC" w14:textId="0DF44F17" w:rsidR="000364B8" w:rsidRPr="005162DE" w:rsidRDefault="000364B8" w:rsidP="000364B8">
            <w:pPr>
              <w:keepNext/>
              <w:keepLines/>
              <w:spacing w:before="40" w:after="40"/>
              <w:ind w:left="30"/>
              <w:jc w:val="both"/>
              <w:rPr>
                <w:rFonts w:ascii="Arial" w:hAnsi="Arial" w:cs="Arial"/>
                <w:sz w:val="24"/>
                <w:szCs w:val="24"/>
              </w:rPr>
            </w:pPr>
            <w:r>
              <w:rPr>
                <w:rFonts w:ascii="Arial" w:hAnsi="Arial" w:cs="Arial"/>
                <w:color w:val="000000" w:themeColor="text1"/>
                <w:sz w:val="24"/>
                <w:szCs w:val="24"/>
              </w:rPr>
              <w:t>Gross Alpha</w:t>
            </w:r>
          </w:p>
        </w:tc>
        <w:tc>
          <w:tcPr>
            <w:tcW w:w="1440" w:type="dxa"/>
          </w:tcPr>
          <w:p w14:paraId="21F7006B" w14:textId="6AA88C38" w:rsidR="000364B8" w:rsidRPr="005162DE" w:rsidRDefault="00FF1F09" w:rsidP="000364B8">
            <w:pPr>
              <w:keepNext/>
              <w:keepLines/>
              <w:spacing w:before="40" w:after="40"/>
              <w:jc w:val="center"/>
              <w:rPr>
                <w:rFonts w:ascii="Arial" w:hAnsi="Arial" w:cs="Arial"/>
                <w:sz w:val="24"/>
                <w:szCs w:val="24"/>
              </w:rPr>
            </w:pPr>
            <w:r>
              <w:rPr>
                <w:rFonts w:ascii="Arial" w:hAnsi="Arial" w:cs="Arial"/>
                <w:color w:val="000000" w:themeColor="text1"/>
                <w:sz w:val="24"/>
                <w:szCs w:val="24"/>
              </w:rPr>
              <w:t>9/28/22</w:t>
            </w:r>
          </w:p>
        </w:tc>
        <w:tc>
          <w:tcPr>
            <w:tcW w:w="1260" w:type="dxa"/>
          </w:tcPr>
          <w:p w14:paraId="1BD7CABC" w14:textId="166F033B" w:rsidR="000364B8" w:rsidRPr="005162DE" w:rsidRDefault="00FF1F09" w:rsidP="000364B8">
            <w:pPr>
              <w:keepNext/>
              <w:keepLines/>
              <w:spacing w:before="40" w:after="40"/>
              <w:jc w:val="center"/>
              <w:rPr>
                <w:rFonts w:ascii="Arial" w:hAnsi="Arial" w:cs="Arial"/>
                <w:sz w:val="24"/>
                <w:szCs w:val="24"/>
              </w:rPr>
            </w:pPr>
            <w:r>
              <w:rPr>
                <w:rFonts w:ascii="Arial" w:hAnsi="Arial" w:cs="Arial"/>
                <w:color w:val="000000" w:themeColor="text1"/>
                <w:sz w:val="24"/>
                <w:szCs w:val="24"/>
              </w:rPr>
              <w:t>0.987</w:t>
            </w:r>
          </w:p>
        </w:tc>
        <w:tc>
          <w:tcPr>
            <w:tcW w:w="1530" w:type="dxa"/>
          </w:tcPr>
          <w:p w14:paraId="40895B2C" w14:textId="03AA703B" w:rsidR="000364B8" w:rsidRPr="005162DE" w:rsidRDefault="00FF1F09" w:rsidP="000364B8">
            <w:pPr>
              <w:keepNext/>
              <w:keepLines/>
              <w:spacing w:before="40" w:after="40"/>
              <w:jc w:val="center"/>
              <w:rPr>
                <w:rFonts w:ascii="Arial" w:hAnsi="Arial" w:cs="Arial"/>
                <w:sz w:val="24"/>
                <w:szCs w:val="24"/>
              </w:rPr>
            </w:pPr>
            <w:r>
              <w:rPr>
                <w:rFonts w:ascii="Arial" w:hAnsi="Arial" w:cs="Arial"/>
                <w:color w:val="000000" w:themeColor="text1"/>
                <w:sz w:val="24"/>
                <w:szCs w:val="24"/>
              </w:rPr>
              <w:t>0.987</w:t>
            </w:r>
          </w:p>
        </w:tc>
        <w:tc>
          <w:tcPr>
            <w:tcW w:w="1170" w:type="dxa"/>
          </w:tcPr>
          <w:p w14:paraId="707B8EC2" w14:textId="43F3390F" w:rsidR="000364B8" w:rsidRPr="005162DE" w:rsidRDefault="000364B8" w:rsidP="000364B8">
            <w:pPr>
              <w:keepNext/>
              <w:keepLines/>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4F209845" w14:textId="1ECCC4C4" w:rsidR="000364B8" w:rsidRPr="005162DE" w:rsidRDefault="000364B8" w:rsidP="000364B8">
            <w:pPr>
              <w:keepNext/>
              <w:keepLines/>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307E6935" w14:textId="506A0950" w:rsidR="000364B8" w:rsidRPr="005162DE" w:rsidRDefault="000364B8" w:rsidP="000364B8">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0364B8" w:rsidRPr="005162DE" w14:paraId="7E778FAF" w14:textId="77777777" w:rsidTr="002D3FB5">
        <w:trPr>
          <w:trHeight w:val="432"/>
        </w:trPr>
        <w:tc>
          <w:tcPr>
            <w:tcW w:w="2245" w:type="dxa"/>
            <w:tcMar>
              <w:left w:w="58" w:type="dxa"/>
              <w:right w:w="58" w:type="dxa"/>
            </w:tcMar>
          </w:tcPr>
          <w:p w14:paraId="2BC454A4" w14:textId="4618BC01" w:rsidR="000364B8" w:rsidRPr="005162DE" w:rsidRDefault="000364B8" w:rsidP="000364B8">
            <w:pPr>
              <w:spacing w:before="40" w:after="40"/>
              <w:ind w:left="30"/>
              <w:jc w:val="both"/>
              <w:rPr>
                <w:rFonts w:ascii="Arial" w:hAnsi="Arial" w:cs="Arial"/>
                <w:sz w:val="24"/>
                <w:szCs w:val="24"/>
              </w:rPr>
            </w:pPr>
            <w:r>
              <w:rPr>
                <w:rFonts w:ascii="Arial" w:hAnsi="Arial" w:cs="Arial"/>
                <w:color w:val="000000" w:themeColor="text1"/>
                <w:sz w:val="24"/>
                <w:szCs w:val="24"/>
              </w:rPr>
              <w:t>Combined Radium 226 and 228</w:t>
            </w:r>
          </w:p>
        </w:tc>
        <w:tc>
          <w:tcPr>
            <w:tcW w:w="1440" w:type="dxa"/>
          </w:tcPr>
          <w:p w14:paraId="25EFD446" w14:textId="6C19832A"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3/11/16</w:t>
            </w:r>
          </w:p>
        </w:tc>
        <w:tc>
          <w:tcPr>
            <w:tcW w:w="1260" w:type="dxa"/>
          </w:tcPr>
          <w:p w14:paraId="7CAF39D9" w14:textId="3FD6A810"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0</w:t>
            </w:r>
          </w:p>
        </w:tc>
        <w:tc>
          <w:tcPr>
            <w:tcW w:w="1530" w:type="dxa"/>
          </w:tcPr>
          <w:p w14:paraId="694B316A" w14:textId="2692ACB6"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04B3ABD1" w14:textId="4EDAED58"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5</w:t>
            </w:r>
          </w:p>
        </w:tc>
        <w:tc>
          <w:tcPr>
            <w:tcW w:w="1260" w:type="dxa"/>
          </w:tcPr>
          <w:p w14:paraId="7BD33183" w14:textId="3218AB3D"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701F5E75" w14:textId="54CBCCA6"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0364B8" w:rsidRPr="005162DE" w14:paraId="5A2E4EDA" w14:textId="77777777" w:rsidTr="002D3FB5">
        <w:trPr>
          <w:trHeight w:val="432"/>
        </w:trPr>
        <w:tc>
          <w:tcPr>
            <w:tcW w:w="2245" w:type="dxa"/>
            <w:tcMar>
              <w:left w:w="58" w:type="dxa"/>
              <w:right w:w="58" w:type="dxa"/>
            </w:tcMar>
          </w:tcPr>
          <w:p w14:paraId="490802B3" w14:textId="565D5816" w:rsidR="000364B8" w:rsidRPr="005162DE" w:rsidRDefault="000364B8" w:rsidP="000364B8">
            <w:pPr>
              <w:spacing w:before="40" w:after="40"/>
              <w:ind w:left="30"/>
              <w:jc w:val="both"/>
              <w:rPr>
                <w:rFonts w:ascii="Arial" w:hAnsi="Arial" w:cs="Arial"/>
                <w:sz w:val="24"/>
                <w:szCs w:val="24"/>
              </w:rPr>
            </w:pPr>
            <w:r>
              <w:rPr>
                <w:rFonts w:ascii="Arial" w:hAnsi="Arial" w:cs="Arial"/>
                <w:color w:val="000000" w:themeColor="text1"/>
                <w:sz w:val="24"/>
                <w:szCs w:val="24"/>
              </w:rPr>
              <w:t>Uranium</w:t>
            </w:r>
            <w:r w:rsidR="009D10C5">
              <w:rPr>
                <w:rFonts w:ascii="Arial" w:hAnsi="Arial" w:cs="Arial"/>
                <w:color w:val="000000" w:themeColor="text1"/>
                <w:sz w:val="24"/>
                <w:szCs w:val="24"/>
              </w:rPr>
              <w:t xml:space="preserve"> (</w:t>
            </w:r>
            <w:proofErr w:type="spellStart"/>
            <w:r w:rsidR="009D10C5">
              <w:rPr>
                <w:rFonts w:ascii="Arial" w:hAnsi="Arial" w:cs="Arial"/>
                <w:color w:val="000000" w:themeColor="text1"/>
                <w:sz w:val="24"/>
                <w:szCs w:val="24"/>
              </w:rPr>
              <w:t>pCi</w:t>
            </w:r>
            <w:proofErr w:type="spellEnd"/>
            <w:r w:rsidR="009D10C5">
              <w:rPr>
                <w:rFonts w:ascii="Arial" w:hAnsi="Arial" w:cs="Arial"/>
                <w:color w:val="000000" w:themeColor="text1"/>
                <w:sz w:val="24"/>
                <w:szCs w:val="24"/>
              </w:rPr>
              <w:t>/L)</w:t>
            </w:r>
          </w:p>
        </w:tc>
        <w:tc>
          <w:tcPr>
            <w:tcW w:w="1440" w:type="dxa"/>
          </w:tcPr>
          <w:p w14:paraId="535C6478" w14:textId="142AFAC2" w:rsidR="000364B8" w:rsidRPr="005162DE" w:rsidRDefault="00FF1F09" w:rsidP="000364B8">
            <w:pPr>
              <w:spacing w:before="40" w:after="40"/>
              <w:jc w:val="center"/>
              <w:rPr>
                <w:rFonts w:ascii="Arial" w:hAnsi="Arial" w:cs="Arial"/>
                <w:sz w:val="24"/>
                <w:szCs w:val="24"/>
              </w:rPr>
            </w:pPr>
            <w:r>
              <w:rPr>
                <w:rFonts w:ascii="Arial" w:hAnsi="Arial" w:cs="Arial"/>
                <w:color w:val="000000" w:themeColor="text1"/>
                <w:sz w:val="24"/>
                <w:szCs w:val="24"/>
              </w:rPr>
              <w:t>9/28/22</w:t>
            </w:r>
          </w:p>
        </w:tc>
        <w:tc>
          <w:tcPr>
            <w:tcW w:w="1260" w:type="dxa"/>
          </w:tcPr>
          <w:p w14:paraId="1A872876" w14:textId="720DA05C" w:rsidR="000364B8" w:rsidRPr="005162DE" w:rsidRDefault="00FF1F09" w:rsidP="000364B8">
            <w:pPr>
              <w:spacing w:before="40" w:after="40"/>
              <w:jc w:val="center"/>
              <w:rPr>
                <w:rFonts w:ascii="Arial" w:hAnsi="Arial" w:cs="Arial"/>
                <w:sz w:val="24"/>
                <w:szCs w:val="24"/>
              </w:rPr>
            </w:pPr>
            <w:r>
              <w:rPr>
                <w:rFonts w:ascii="Arial" w:hAnsi="Arial" w:cs="Arial"/>
                <w:color w:val="000000" w:themeColor="text1"/>
                <w:sz w:val="24"/>
                <w:szCs w:val="24"/>
              </w:rPr>
              <w:t>1.2</w:t>
            </w:r>
          </w:p>
        </w:tc>
        <w:tc>
          <w:tcPr>
            <w:tcW w:w="1530" w:type="dxa"/>
          </w:tcPr>
          <w:p w14:paraId="4E27FAAD" w14:textId="2CB95C35" w:rsidR="000364B8" w:rsidRPr="005162DE" w:rsidRDefault="00FF1F09" w:rsidP="000364B8">
            <w:pPr>
              <w:spacing w:before="40" w:after="40"/>
              <w:jc w:val="center"/>
              <w:rPr>
                <w:rFonts w:ascii="Arial" w:hAnsi="Arial" w:cs="Arial"/>
                <w:sz w:val="24"/>
                <w:szCs w:val="24"/>
              </w:rPr>
            </w:pPr>
            <w:r>
              <w:rPr>
                <w:rFonts w:ascii="Arial" w:hAnsi="Arial" w:cs="Arial"/>
                <w:color w:val="000000" w:themeColor="text1"/>
                <w:sz w:val="24"/>
                <w:szCs w:val="24"/>
              </w:rPr>
              <w:t>1.2</w:t>
            </w:r>
          </w:p>
        </w:tc>
        <w:tc>
          <w:tcPr>
            <w:tcW w:w="1170" w:type="dxa"/>
          </w:tcPr>
          <w:p w14:paraId="6EC8A772" w14:textId="249856C5"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22CCB022" w14:textId="1C75E157"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218DDB99" w14:textId="078C38FE"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0364B8" w:rsidRPr="005162DE" w14:paraId="086C64AC" w14:textId="77777777" w:rsidTr="002D3FB5">
        <w:trPr>
          <w:trHeight w:val="432"/>
        </w:trPr>
        <w:tc>
          <w:tcPr>
            <w:tcW w:w="2245" w:type="dxa"/>
            <w:tcMar>
              <w:left w:w="58" w:type="dxa"/>
              <w:right w:w="58" w:type="dxa"/>
            </w:tcMar>
          </w:tcPr>
          <w:p w14:paraId="5BBA64D4" w14:textId="7338B072"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18BAED8A" w14:textId="60D5FC2C"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6/6/19</w:t>
            </w:r>
          </w:p>
        </w:tc>
        <w:tc>
          <w:tcPr>
            <w:tcW w:w="1260" w:type="dxa"/>
          </w:tcPr>
          <w:p w14:paraId="56377669" w14:textId="0C38207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28C68B96" w14:textId="60415D93"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3E5D37B" w14:textId="46AFB807"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2EEF54C" w14:textId="5E33C666"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034F1971" w14:textId="77777777" w:rsidR="000364B8" w:rsidRPr="0098134B" w:rsidRDefault="000364B8" w:rsidP="000364B8">
            <w:pPr>
              <w:spacing w:before="40" w:after="40"/>
              <w:rPr>
                <w:rFonts w:ascii="Arial" w:hAnsi="Arial" w:cs="Arial"/>
                <w:color w:val="000000" w:themeColor="text1"/>
                <w:sz w:val="24"/>
                <w:szCs w:val="24"/>
              </w:rPr>
            </w:pPr>
            <w:r w:rsidRPr="0098134B">
              <w:rPr>
                <w:rFonts w:ascii="Arial" w:hAnsi="Arial" w:cs="Arial"/>
                <w:color w:val="000000" w:themeColor="text1"/>
                <w:sz w:val="24"/>
                <w:szCs w:val="24"/>
              </w:rPr>
              <w:t>Erosion of natural deposits; runoff</w:t>
            </w:r>
          </w:p>
          <w:p w14:paraId="0C8FA420" w14:textId="77777777" w:rsidR="000364B8" w:rsidRPr="0098134B" w:rsidRDefault="000364B8" w:rsidP="000364B8">
            <w:pPr>
              <w:spacing w:before="40" w:after="40"/>
              <w:rPr>
                <w:rFonts w:ascii="Arial" w:hAnsi="Arial" w:cs="Arial"/>
                <w:color w:val="000000" w:themeColor="text1"/>
                <w:sz w:val="24"/>
                <w:szCs w:val="24"/>
              </w:rPr>
            </w:pPr>
            <w:r w:rsidRPr="0098134B">
              <w:rPr>
                <w:rFonts w:ascii="Arial" w:hAnsi="Arial" w:cs="Arial"/>
                <w:color w:val="000000" w:themeColor="text1"/>
                <w:sz w:val="24"/>
                <w:szCs w:val="24"/>
              </w:rPr>
              <w:t>from orchards; glass and</w:t>
            </w:r>
          </w:p>
          <w:p w14:paraId="24450F65" w14:textId="7D980936" w:rsidR="000364B8" w:rsidRDefault="000364B8" w:rsidP="000364B8">
            <w:pPr>
              <w:spacing w:before="40" w:after="40"/>
              <w:jc w:val="center"/>
              <w:rPr>
                <w:rFonts w:ascii="Arial" w:hAnsi="Arial" w:cs="Arial"/>
                <w:color w:val="000000" w:themeColor="text1"/>
                <w:sz w:val="24"/>
                <w:szCs w:val="24"/>
              </w:rPr>
            </w:pPr>
            <w:r w:rsidRPr="0098134B">
              <w:rPr>
                <w:rFonts w:ascii="Arial" w:hAnsi="Arial" w:cs="Arial"/>
                <w:color w:val="000000" w:themeColor="text1"/>
                <w:sz w:val="24"/>
                <w:szCs w:val="24"/>
              </w:rPr>
              <w:t>electronics production wastes</w:t>
            </w:r>
          </w:p>
        </w:tc>
      </w:tr>
      <w:tr w:rsidR="000364B8" w:rsidRPr="005162DE" w14:paraId="709BE6AE" w14:textId="77777777" w:rsidTr="002D3FB5">
        <w:trPr>
          <w:trHeight w:val="432"/>
        </w:trPr>
        <w:tc>
          <w:tcPr>
            <w:tcW w:w="2245" w:type="dxa"/>
            <w:tcMar>
              <w:left w:w="58" w:type="dxa"/>
              <w:right w:w="58" w:type="dxa"/>
            </w:tcMar>
          </w:tcPr>
          <w:p w14:paraId="7DC6010B" w14:textId="4CA6462E"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3022F184" w14:textId="21DF411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6/6/19</w:t>
            </w:r>
          </w:p>
        </w:tc>
        <w:tc>
          <w:tcPr>
            <w:tcW w:w="1260" w:type="dxa"/>
          </w:tcPr>
          <w:p w14:paraId="47982BCB" w14:textId="0CD08B76"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w:t>
            </w:r>
          </w:p>
        </w:tc>
        <w:tc>
          <w:tcPr>
            <w:tcW w:w="1530" w:type="dxa"/>
          </w:tcPr>
          <w:p w14:paraId="33D4F898" w14:textId="3782F6A0"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C519DA3" w14:textId="363C19EA"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32193575" w14:textId="3ABAEBEB"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0C2488AC" w14:textId="2FF95BE8"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metal refineries, coal-burning factories, and electrical, aerospace, and defense industries.</w:t>
            </w:r>
          </w:p>
        </w:tc>
      </w:tr>
      <w:tr w:rsidR="000364B8" w:rsidRPr="005162DE" w14:paraId="26955E15" w14:textId="77777777" w:rsidTr="002D3FB5">
        <w:trPr>
          <w:trHeight w:val="432"/>
        </w:trPr>
        <w:tc>
          <w:tcPr>
            <w:tcW w:w="2245" w:type="dxa"/>
            <w:tcMar>
              <w:left w:w="58" w:type="dxa"/>
              <w:right w:w="58" w:type="dxa"/>
            </w:tcMar>
          </w:tcPr>
          <w:p w14:paraId="19359D6D" w14:textId="0C479C57"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440" w:type="dxa"/>
          </w:tcPr>
          <w:p w14:paraId="38E5228F" w14:textId="32456CE7"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6/6/19</w:t>
            </w:r>
          </w:p>
        </w:tc>
        <w:tc>
          <w:tcPr>
            <w:tcW w:w="1260" w:type="dxa"/>
          </w:tcPr>
          <w:p w14:paraId="496B981F" w14:textId="2C6FB5B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0.29</w:t>
            </w:r>
          </w:p>
        </w:tc>
        <w:tc>
          <w:tcPr>
            <w:tcW w:w="1530" w:type="dxa"/>
          </w:tcPr>
          <w:p w14:paraId="3FB7C4BD" w14:textId="549AA7C9"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8035A95" w14:textId="4C23AB5A"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03B6CA65" w14:textId="0F7173AA"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167F2404" w14:textId="0E6EFDA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steel and pulp mills and chrome plating; erosion of natural deposits.</w:t>
            </w:r>
          </w:p>
        </w:tc>
      </w:tr>
      <w:tr w:rsidR="000364B8" w:rsidRPr="005162DE" w14:paraId="18F69E57" w14:textId="77777777" w:rsidTr="002D3FB5">
        <w:trPr>
          <w:trHeight w:val="432"/>
        </w:trPr>
        <w:tc>
          <w:tcPr>
            <w:tcW w:w="2245" w:type="dxa"/>
            <w:tcMar>
              <w:left w:w="58" w:type="dxa"/>
              <w:right w:w="58" w:type="dxa"/>
            </w:tcMar>
          </w:tcPr>
          <w:p w14:paraId="173D9C0A" w14:textId="5306A32C"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Copper (ppm)</w:t>
            </w:r>
          </w:p>
        </w:tc>
        <w:tc>
          <w:tcPr>
            <w:tcW w:w="1440" w:type="dxa"/>
          </w:tcPr>
          <w:p w14:paraId="3197E51B" w14:textId="40AEBA3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9/27/17</w:t>
            </w:r>
          </w:p>
        </w:tc>
        <w:tc>
          <w:tcPr>
            <w:tcW w:w="1260" w:type="dxa"/>
          </w:tcPr>
          <w:p w14:paraId="2B3CFC80" w14:textId="0A2A5A53"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0.148</w:t>
            </w:r>
          </w:p>
        </w:tc>
        <w:tc>
          <w:tcPr>
            <w:tcW w:w="1530" w:type="dxa"/>
          </w:tcPr>
          <w:p w14:paraId="5DAF7D1C" w14:textId="15D7D82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0.080 – 0.200</w:t>
            </w:r>
          </w:p>
        </w:tc>
        <w:tc>
          <w:tcPr>
            <w:tcW w:w="1170" w:type="dxa"/>
          </w:tcPr>
          <w:p w14:paraId="305F875F" w14:textId="148D0EC4"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AL = 1.3</w:t>
            </w:r>
          </w:p>
        </w:tc>
        <w:tc>
          <w:tcPr>
            <w:tcW w:w="1260" w:type="dxa"/>
          </w:tcPr>
          <w:p w14:paraId="5BD90613" w14:textId="027C359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931" w:type="dxa"/>
          </w:tcPr>
          <w:p w14:paraId="2FCAFA71" w14:textId="721FD6A3"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Internal corrosion of household plumbing systems; erosion of natural </w:t>
            </w:r>
            <w:r>
              <w:rPr>
                <w:rFonts w:ascii="Arial" w:hAnsi="Arial" w:cs="Arial"/>
                <w:color w:val="000000" w:themeColor="text1"/>
                <w:sz w:val="24"/>
                <w:szCs w:val="24"/>
              </w:rPr>
              <w:lastRenderedPageBreak/>
              <w:t>deposits; leaching from wood preservatives.</w:t>
            </w:r>
          </w:p>
        </w:tc>
      </w:tr>
      <w:tr w:rsidR="000364B8" w:rsidRPr="005162DE" w14:paraId="5013DA13" w14:textId="77777777" w:rsidTr="002D3FB5">
        <w:trPr>
          <w:trHeight w:val="432"/>
        </w:trPr>
        <w:tc>
          <w:tcPr>
            <w:tcW w:w="2245" w:type="dxa"/>
            <w:tcMar>
              <w:left w:w="58" w:type="dxa"/>
              <w:right w:w="58" w:type="dxa"/>
            </w:tcMar>
          </w:tcPr>
          <w:p w14:paraId="0D1428B9" w14:textId="4A7A18B0"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Fluoride (ppm)</w:t>
            </w:r>
          </w:p>
        </w:tc>
        <w:tc>
          <w:tcPr>
            <w:tcW w:w="1440" w:type="dxa"/>
          </w:tcPr>
          <w:p w14:paraId="596AEB3E" w14:textId="4911F0E1"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6/6/19</w:t>
            </w:r>
          </w:p>
        </w:tc>
        <w:tc>
          <w:tcPr>
            <w:tcW w:w="1260" w:type="dxa"/>
          </w:tcPr>
          <w:p w14:paraId="75CF7F8A" w14:textId="5052B284"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0.24</w:t>
            </w:r>
          </w:p>
        </w:tc>
        <w:tc>
          <w:tcPr>
            <w:tcW w:w="1530" w:type="dxa"/>
          </w:tcPr>
          <w:p w14:paraId="345CBF0E" w14:textId="0F97566F"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51A418B" w14:textId="3BDBAA0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3B5159F2" w14:textId="7517AABB"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AF47AB2" w14:textId="27FDCB5C"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0364B8" w:rsidRPr="005162DE" w14:paraId="02706669" w14:textId="77777777" w:rsidTr="002D3FB5">
        <w:trPr>
          <w:trHeight w:val="432"/>
        </w:trPr>
        <w:tc>
          <w:tcPr>
            <w:tcW w:w="2245" w:type="dxa"/>
            <w:tcMar>
              <w:left w:w="58" w:type="dxa"/>
              <w:right w:w="58" w:type="dxa"/>
            </w:tcMar>
          </w:tcPr>
          <w:p w14:paraId="734E569F" w14:textId="428C8947"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 (ppb)</w:t>
            </w:r>
          </w:p>
        </w:tc>
        <w:tc>
          <w:tcPr>
            <w:tcW w:w="1440" w:type="dxa"/>
          </w:tcPr>
          <w:p w14:paraId="1F5DF651" w14:textId="247B470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9/27/17</w:t>
            </w:r>
          </w:p>
        </w:tc>
        <w:tc>
          <w:tcPr>
            <w:tcW w:w="1260" w:type="dxa"/>
          </w:tcPr>
          <w:p w14:paraId="72BF5245" w14:textId="2861AAE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0.00602</w:t>
            </w:r>
          </w:p>
        </w:tc>
        <w:tc>
          <w:tcPr>
            <w:tcW w:w="1530" w:type="dxa"/>
          </w:tcPr>
          <w:p w14:paraId="30C420E5" w14:textId="45E5DF9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0.0012 – 0.4600</w:t>
            </w:r>
          </w:p>
        </w:tc>
        <w:tc>
          <w:tcPr>
            <w:tcW w:w="1170" w:type="dxa"/>
          </w:tcPr>
          <w:p w14:paraId="6F2EC688" w14:textId="1EC094BB"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AL = 15</w:t>
            </w:r>
          </w:p>
        </w:tc>
        <w:tc>
          <w:tcPr>
            <w:tcW w:w="1260" w:type="dxa"/>
          </w:tcPr>
          <w:p w14:paraId="70834B56" w14:textId="5D1685BA"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77EE0CDD" w14:textId="44150876"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Internal corrosion of household plumbing systems; erosion of natural deposits.</w:t>
            </w:r>
          </w:p>
        </w:tc>
      </w:tr>
      <w:tr w:rsidR="000364B8" w:rsidRPr="005162DE" w14:paraId="50833ECA" w14:textId="77777777" w:rsidTr="002D3FB5">
        <w:trPr>
          <w:trHeight w:val="432"/>
        </w:trPr>
        <w:tc>
          <w:tcPr>
            <w:tcW w:w="2245" w:type="dxa"/>
            <w:tcMar>
              <w:left w:w="58" w:type="dxa"/>
              <w:right w:w="58" w:type="dxa"/>
            </w:tcMar>
          </w:tcPr>
          <w:p w14:paraId="33079C6C" w14:textId="75F2732D"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Mercury (ppb)</w:t>
            </w:r>
          </w:p>
        </w:tc>
        <w:tc>
          <w:tcPr>
            <w:tcW w:w="1440" w:type="dxa"/>
          </w:tcPr>
          <w:p w14:paraId="4608A184" w14:textId="71397D28"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6/6/19</w:t>
            </w:r>
          </w:p>
        </w:tc>
        <w:tc>
          <w:tcPr>
            <w:tcW w:w="1260" w:type="dxa"/>
          </w:tcPr>
          <w:p w14:paraId="54292D54" w14:textId="45835274"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ABCCA54" w14:textId="59FF0DC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7AAD80D" w14:textId="28C03268"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002F34E8" w14:textId="705A9293"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931" w:type="dxa"/>
          </w:tcPr>
          <w:p w14:paraId="2E0D5504" w14:textId="5DB60697"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refineries and factories; runoff from landfills and cropland.</w:t>
            </w:r>
          </w:p>
        </w:tc>
      </w:tr>
      <w:tr w:rsidR="000364B8" w:rsidRPr="005162DE" w14:paraId="4DED25F8" w14:textId="77777777" w:rsidTr="002D3FB5">
        <w:trPr>
          <w:trHeight w:val="432"/>
        </w:trPr>
        <w:tc>
          <w:tcPr>
            <w:tcW w:w="2245" w:type="dxa"/>
            <w:tcMar>
              <w:left w:w="58" w:type="dxa"/>
              <w:right w:w="58" w:type="dxa"/>
            </w:tcMar>
          </w:tcPr>
          <w:p w14:paraId="7CE4FD27" w14:textId="2B27ABFE"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BFE00A6" w14:textId="77777777"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9/28/21</w:t>
            </w:r>
          </w:p>
          <w:p w14:paraId="77D0BA2D" w14:textId="4A6B9DD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10/26/21</w:t>
            </w:r>
          </w:p>
        </w:tc>
        <w:tc>
          <w:tcPr>
            <w:tcW w:w="1260" w:type="dxa"/>
          </w:tcPr>
          <w:p w14:paraId="1D8337AD" w14:textId="1D926000"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0.65 – 0.81</w:t>
            </w:r>
          </w:p>
        </w:tc>
        <w:tc>
          <w:tcPr>
            <w:tcW w:w="1530" w:type="dxa"/>
          </w:tcPr>
          <w:p w14:paraId="4DFBADE8" w14:textId="1379AA4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0.65 – 0.81</w:t>
            </w:r>
          </w:p>
        </w:tc>
        <w:tc>
          <w:tcPr>
            <w:tcW w:w="1170" w:type="dxa"/>
          </w:tcPr>
          <w:p w14:paraId="4B4B70C0" w14:textId="3D8559AD"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28315CEE" w14:textId="3FCE286D"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08C6CE83" w14:textId="62F1AA9F"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refineries and factories; runoff from landfills and cropland.</w:t>
            </w:r>
          </w:p>
        </w:tc>
      </w:tr>
      <w:tr w:rsidR="000364B8" w:rsidRPr="005162DE" w14:paraId="5FA927C5" w14:textId="77777777" w:rsidTr="002D3FB5">
        <w:trPr>
          <w:trHeight w:val="432"/>
        </w:trPr>
        <w:tc>
          <w:tcPr>
            <w:tcW w:w="2245" w:type="dxa"/>
            <w:tcMar>
              <w:left w:w="58" w:type="dxa"/>
              <w:right w:w="58" w:type="dxa"/>
            </w:tcMar>
          </w:tcPr>
          <w:p w14:paraId="7851FBA4" w14:textId="6C2B8B79" w:rsidR="000364B8" w:rsidRDefault="000364B8" w:rsidP="000364B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Dioxin</w:t>
            </w:r>
          </w:p>
        </w:tc>
        <w:tc>
          <w:tcPr>
            <w:tcW w:w="1440" w:type="dxa"/>
          </w:tcPr>
          <w:p w14:paraId="7C2FC40D" w14:textId="5D92888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3/9/15</w:t>
            </w:r>
          </w:p>
        </w:tc>
        <w:tc>
          <w:tcPr>
            <w:tcW w:w="1260" w:type="dxa"/>
          </w:tcPr>
          <w:p w14:paraId="4F812221" w14:textId="598BBE43"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28072C20" w14:textId="610F04C7"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6347CD3" w14:textId="18372A7A"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260" w:type="dxa"/>
          </w:tcPr>
          <w:p w14:paraId="16A58325" w14:textId="1765382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931" w:type="dxa"/>
          </w:tcPr>
          <w:p w14:paraId="66A4E9C5" w14:textId="2128F67C"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Emissions from waste incineration and other combustion; discharge from chemical factories.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364B8" w:rsidRPr="005162DE" w14:paraId="029A4A7D" w14:textId="77777777" w:rsidTr="002D3FB5">
        <w:trPr>
          <w:trHeight w:val="432"/>
        </w:trPr>
        <w:tc>
          <w:tcPr>
            <w:tcW w:w="2245" w:type="dxa"/>
          </w:tcPr>
          <w:p w14:paraId="04C2A80B" w14:textId="7D7ECFCB" w:rsidR="000364B8" w:rsidRPr="005162DE" w:rsidRDefault="000364B8" w:rsidP="000364B8">
            <w:pPr>
              <w:spacing w:before="40" w:after="40"/>
              <w:ind w:left="187"/>
              <w:rPr>
                <w:rFonts w:ascii="Arial" w:hAnsi="Arial" w:cs="Arial"/>
                <w:sz w:val="24"/>
                <w:szCs w:val="24"/>
              </w:rPr>
            </w:pPr>
            <w:r>
              <w:rPr>
                <w:rFonts w:ascii="Arial" w:hAnsi="Arial" w:cs="Arial"/>
                <w:color w:val="000000" w:themeColor="text1"/>
                <w:sz w:val="24"/>
                <w:szCs w:val="24"/>
              </w:rPr>
              <w:t>Iron (ppb)</w:t>
            </w:r>
          </w:p>
        </w:tc>
        <w:tc>
          <w:tcPr>
            <w:tcW w:w="1440" w:type="dxa"/>
          </w:tcPr>
          <w:p w14:paraId="3AB56DE9" w14:textId="00ECA81B"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5D465B29" w14:textId="3484C288"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18</w:t>
            </w:r>
          </w:p>
        </w:tc>
        <w:tc>
          <w:tcPr>
            <w:tcW w:w="1530" w:type="dxa"/>
          </w:tcPr>
          <w:p w14:paraId="6F2413BA" w14:textId="6273B2B7"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5615AC9F" w14:textId="7CEB7715"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188C38E4" w14:textId="0749DF7A"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314935AE" w:rsidR="000364B8" w:rsidRPr="005162DE" w:rsidRDefault="000364B8" w:rsidP="000364B8">
            <w:pPr>
              <w:spacing w:before="40" w:after="40"/>
              <w:rPr>
                <w:rFonts w:ascii="Arial" w:hAnsi="Arial" w:cs="Arial"/>
                <w:sz w:val="24"/>
                <w:szCs w:val="24"/>
              </w:rPr>
            </w:pPr>
            <w:r>
              <w:rPr>
                <w:rFonts w:ascii="Arial" w:hAnsi="Arial" w:cs="Arial"/>
                <w:color w:val="000000" w:themeColor="text1"/>
                <w:sz w:val="24"/>
                <w:szCs w:val="24"/>
              </w:rPr>
              <w:t>Leaching from natural deposits; industrial wastes.</w:t>
            </w:r>
          </w:p>
        </w:tc>
      </w:tr>
      <w:tr w:rsidR="000364B8" w:rsidRPr="005162DE" w14:paraId="43BA6B8D" w14:textId="77777777" w:rsidTr="002D3FB5">
        <w:trPr>
          <w:trHeight w:val="432"/>
        </w:trPr>
        <w:tc>
          <w:tcPr>
            <w:tcW w:w="2245" w:type="dxa"/>
          </w:tcPr>
          <w:p w14:paraId="581AB298" w14:textId="083EC2EF" w:rsidR="000364B8" w:rsidRPr="005162DE" w:rsidRDefault="000364B8" w:rsidP="000364B8">
            <w:pPr>
              <w:spacing w:before="40" w:after="40"/>
              <w:ind w:left="187"/>
              <w:rPr>
                <w:rFonts w:ascii="Arial" w:hAnsi="Arial" w:cs="Arial"/>
                <w:sz w:val="24"/>
                <w:szCs w:val="24"/>
              </w:rPr>
            </w:pPr>
            <w:r>
              <w:rPr>
                <w:rFonts w:ascii="Arial" w:hAnsi="Arial" w:cs="Arial"/>
                <w:color w:val="000000" w:themeColor="text1"/>
                <w:sz w:val="24"/>
                <w:szCs w:val="24"/>
              </w:rPr>
              <w:t>Manganese (ppb)</w:t>
            </w:r>
          </w:p>
        </w:tc>
        <w:tc>
          <w:tcPr>
            <w:tcW w:w="1440" w:type="dxa"/>
          </w:tcPr>
          <w:p w14:paraId="13425507" w14:textId="3C439C79"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72C49EEB" w14:textId="2C2FA2F5"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7C11921B" w14:textId="101902F5"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91F1603" w14:textId="69A65775"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489C42D6" w14:textId="25C68523"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1362C920" w:rsidR="000364B8" w:rsidRPr="005162DE" w:rsidRDefault="000364B8" w:rsidP="000364B8">
            <w:pPr>
              <w:spacing w:before="40" w:after="40"/>
              <w:rPr>
                <w:rFonts w:ascii="Arial" w:hAnsi="Arial" w:cs="Arial"/>
                <w:sz w:val="24"/>
                <w:szCs w:val="24"/>
              </w:rPr>
            </w:pPr>
            <w:r>
              <w:rPr>
                <w:rFonts w:ascii="Arial" w:hAnsi="Arial" w:cs="Arial"/>
                <w:color w:val="000000" w:themeColor="text1"/>
                <w:sz w:val="24"/>
                <w:szCs w:val="24"/>
              </w:rPr>
              <w:t>Leaching from natural deposits.</w:t>
            </w:r>
          </w:p>
        </w:tc>
      </w:tr>
      <w:tr w:rsidR="000364B8" w:rsidRPr="005162DE" w14:paraId="18FA2C38" w14:textId="77777777" w:rsidTr="002D3FB5">
        <w:trPr>
          <w:trHeight w:val="432"/>
        </w:trPr>
        <w:tc>
          <w:tcPr>
            <w:tcW w:w="2245" w:type="dxa"/>
          </w:tcPr>
          <w:p w14:paraId="39D2E538" w14:textId="274BEA58" w:rsidR="000364B8" w:rsidRPr="005162DE" w:rsidRDefault="000364B8" w:rsidP="000364B8">
            <w:pPr>
              <w:spacing w:before="40" w:after="40"/>
              <w:ind w:left="187"/>
              <w:rPr>
                <w:rFonts w:ascii="Arial" w:hAnsi="Arial" w:cs="Arial"/>
                <w:sz w:val="24"/>
                <w:szCs w:val="24"/>
              </w:rPr>
            </w:pPr>
            <w:r>
              <w:rPr>
                <w:rFonts w:ascii="Arial" w:hAnsi="Arial" w:cs="Arial"/>
                <w:color w:val="000000" w:themeColor="text1"/>
                <w:sz w:val="24"/>
                <w:szCs w:val="24"/>
              </w:rPr>
              <w:t>TDS (ppm)</w:t>
            </w:r>
          </w:p>
        </w:tc>
        <w:tc>
          <w:tcPr>
            <w:tcW w:w="1440" w:type="dxa"/>
          </w:tcPr>
          <w:p w14:paraId="6AB05BED" w14:textId="498E0153"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3/8/17</w:t>
            </w:r>
          </w:p>
        </w:tc>
        <w:tc>
          <w:tcPr>
            <w:tcW w:w="1260" w:type="dxa"/>
          </w:tcPr>
          <w:p w14:paraId="0AC370FD" w14:textId="0AECEA84"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Pr>
          <w:p w14:paraId="06D23DE1" w14:textId="5DAF1713"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Pr>
          <w:p w14:paraId="4A9C9B68" w14:textId="44351039"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7502C73C" w14:textId="4A91A103" w:rsidR="000364B8" w:rsidRPr="005162DE" w:rsidRDefault="000364B8" w:rsidP="000364B8">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6A23C91" w14:textId="18113AAB" w:rsidR="000364B8" w:rsidRPr="005162DE" w:rsidRDefault="000364B8" w:rsidP="000364B8">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0364B8" w:rsidRPr="005162DE" w14:paraId="395D2A56" w14:textId="77777777" w:rsidTr="002D3FB5">
        <w:trPr>
          <w:trHeight w:val="432"/>
        </w:trPr>
        <w:tc>
          <w:tcPr>
            <w:tcW w:w="2245" w:type="dxa"/>
          </w:tcPr>
          <w:p w14:paraId="11411544" w14:textId="24AC245D" w:rsidR="000364B8" w:rsidRDefault="000364B8" w:rsidP="000364B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08D99032" w14:textId="7AFBD9BA"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5/24/11</w:t>
            </w:r>
          </w:p>
        </w:tc>
        <w:tc>
          <w:tcPr>
            <w:tcW w:w="1260" w:type="dxa"/>
          </w:tcPr>
          <w:p w14:paraId="1D7D9460" w14:textId="2ADC9B86"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75B1E1EA" w14:textId="6C472D5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434D34E" w14:textId="01A304ED"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399B3692" w14:textId="6600B310"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28953B6" w14:textId="43E26B25" w:rsidR="000364B8" w:rsidRDefault="000364B8" w:rsidP="000364B8">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364B8" w:rsidRPr="005162DE" w14:paraId="51E7AD2C" w14:textId="77777777" w:rsidTr="002D3FB5">
        <w:trPr>
          <w:trHeight w:val="432"/>
        </w:trPr>
        <w:tc>
          <w:tcPr>
            <w:tcW w:w="2245" w:type="dxa"/>
          </w:tcPr>
          <w:p w14:paraId="526F7BE2" w14:textId="603532D2" w:rsidR="000364B8" w:rsidRDefault="000364B8" w:rsidP="000364B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9F07541" w14:textId="73EB8DF5"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3/8/17</w:t>
            </w:r>
          </w:p>
        </w:tc>
        <w:tc>
          <w:tcPr>
            <w:tcW w:w="1260" w:type="dxa"/>
          </w:tcPr>
          <w:p w14:paraId="38CF0486" w14:textId="2EB1F0E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78ED4E36" w14:textId="7B72D1C2"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2DE5D09" w14:textId="7EE60080"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7A40001" w14:textId="58AE269C"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9A1091F" w14:textId="2C0C0F1B" w:rsidR="000364B8" w:rsidRDefault="000364B8" w:rsidP="000364B8">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364B8" w:rsidRPr="005162DE" w14:paraId="6E801C47" w14:textId="77777777" w:rsidTr="002D3FB5">
        <w:trPr>
          <w:trHeight w:val="432"/>
        </w:trPr>
        <w:tc>
          <w:tcPr>
            <w:tcW w:w="2245" w:type="dxa"/>
          </w:tcPr>
          <w:p w14:paraId="32425ACB" w14:textId="65AC4FE1" w:rsidR="000364B8" w:rsidRDefault="000364B8" w:rsidP="000364B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36A1DBA3" w14:textId="1E81591C"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3/8/17</w:t>
            </w:r>
          </w:p>
        </w:tc>
        <w:tc>
          <w:tcPr>
            <w:tcW w:w="1260" w:type="dxa"/>
          </w:tcPr>
          <w:p w14:paraId="7A73D766" w14:textId="63445000"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tc>
        <w:tc>
          <w:tcPr>
            <w:tcW w:w="1530" w:type="dxa"/>
          </w:tcPr>
          <w:p w14:paraId="491B666E" w14:textId="4EBDFF1E"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B3565E6" w14:textId="69F10A0C"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A92FD87" w14:textId="5F1B5AA1" w:rsidR="000364B8" w:rsidRDefault="000364B8" w:rsidP="000364B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414D6C5" w14:textId="3770BE63" w:rsidR="000364B8" w:rsidRDefault="000364B8" w:rsidP="000364B8">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364B8" w:rsidRPr="005162DE" w14:paraId="09116D09" w14:textId="77777777" w:rsidTr="002D3FB5">
        <w:trPr>
          <w:trHeight w:val="432"/>
        </w:trPr>
        <w:tc>
          <w:tcPr>
            <w:tcW w:w="2245" w:type="dxa"/>
          </w:tcPr>
          <w:p w14:paraId="18023788" w14:textId="5644D2CE" w:rsidR="000364B8" w:rsidRPr="005162DE" w:rsidRDefault="000364B8" w:rsidP="000364B8">
            <w:pPr>
              <w:spacing w:before="40" w:after="40"/>
              <w:rPr>
                <w:rFonts w:ascii="Arial" w:hAnsi="Arial" w:cs="Arial"/>
                <w:sz w:val="24"/>
                <w:szCs w:val="24"/>
              </w:rPr>
            </w:pPr>
            <w:r w:rsidRPr="0098134B">
              <w:rPr>
                <w:rFonts w:ascii="Arial" w:hAnsi="Arial" w:cs="Arial"/>
                <w:sz w:val="24"/>
                <w:szCs w:val="24"/>
              </w:rPr>
              <w:t>PFOS</w:t>
            </w:r>
            <w:r w:rsidR="000E2711">
              <w:rPr>
                <w:rFonts w:ascii="Arial" w:hAnsi="Arial" w:cs="Arial"/>
                <w:sz w:val="24"/>
                <w:szCs w:val="24"/>
              </w:rPr>
              <w:t xml:space="preserve"> (ng/L)</w:t>
            </w:r>
          </w:p>
        </w:tc>
        <w:tc>
          <w:tcPr>
            <w:tcW w:w="1440" w:type="dxa"/>
          </w:tcPr>
          <w:p w14:paraId="28190B3D" w14:textId="61BBFFE2" w:rsidR="000364B8" w:rsidRPr="005162DE" w:rsidRDefault="00FF1F09" w:rsidP="000364B8">
            <w:pPr>
              <w:spacing w:before="40" w:after="40"/>
              <w:jc w:val="center"/>
              <w:rPr>
                <w:rFonts w:ascii="Arial" w:hAnsi="Arial" w:cs="Arial"/>
                <w:sz w:val="24"/>
                <w:szCs w:val="24"/>
              </w:rPr>
            </w:pPr>
            <w:r>
              <w:rPr>
                <w:rFonts w:ascii="Arial" w:hAnsi="Arial" w:cs="Arial"/>
                <w:sz w:val="24"/>
                <w:szCs w:val="24"/>
              </w:rPr>
              <w:t>3/31/22 &amp; 6/16/22 &amp; 9/30/22</w:t>
            </w:r>
          </w:p>
        </w:tc>
        <w:tc>
          <w:tcPr>
            <w:tcW w:w="1350" w:type="dxa"/>
          </w:tcPr>
          <w:p w14:paraId="63D0EACA" w14:textId="4FB36125" w:rsidR="000364B8" w:rsidRPr="005162DE" w:rsidRDefault="00FF1F09" w:rsidP="000364B8">
            <w:pPr>
              <w:spacing w:before="40" w:after="40"/>
              <w:rPr>
                <w:rFonts w:ascii="Arial" w:hAnsi="Arial" w:cs="Arial"/>
                <w:sz w:val="24"/>
                <w:szCs w:val="24"/>
              </w:rPr>
            </w:pPr>
            <w:r>
              <w:rPr>
                <w:rFonts w:ascii="Arial" w:hAnsi="Arial" w:cs="Arial"/>
                <w:sz w:val="24"/>
                <w:szCs w:val="24"/>
              </w:rPr>
              <w:t>4.0 - 4.4</w:t>
            </w:r>
            <w:r w:rsidR="000E2711">
              <w:rPr>
                <w:rFonts w:ascii="Arial" w:hAnsi="Arial" w:cs="Arial"/>
                <w:sz w:val="24"/>
                <w:szCs w:val="24"/>
              </w:rPr>
              <w:t xml:space="preserve"> ng/L</w:t>
            </w:r>
          </w:p>
        </w:tc>
        <w:tc>
          <w:tcPr>
            <w:tcW w:w="1530" w:type="dxa"/>
          </w:tcPr>
          <w:p w14:paraId="60CC3A19" w14:textId="27C62A5E" w:rsidR="000364B8" w:rsidRPr="005162DE" w:rsidRDefault="00FF1F09" w:rsidP="000364B8">
            <w:pPr>
              <w:spacing w:before="40" w:after="40"/>
              <w:jc w:val="center"/>
              <w:rPr>
                <w:rFonts w:ascii="Arial" w:hAnsi="Arial" w:cs="Arial"/>
                <w:sz w:val="24"/>
                <w:szCs w:val="24"/>
              </w:rPr>
            </w:pPr>
            <w:r>
              <w:rPr>
                <w:rFonts w:ascii="Arial" w:hAnsi="Arial" w:cs="Arial"/>
                <w:sz w:val="24"/>
                <w:szCs w:val="24"/>
              </w:rPr>
              <w:t>4.0 - 4.4</w:t>
            </w:r>
          </w:p>
        </w:tc>
        <w:tc>
          <w:tcPr>
            <w:tcW w:w="1800" w:type="dxa"/>
          </w:tcPr>
          <w:p w14:paraId="15DDAE72" w14:textId="173DBFC1" w:rsidR="000364B8" w:rsidRPr="005162DE" w:rsidRDefault="000E2711" w:rsidP="000364B8">
            <w:pPr>
              <w:spacing w:before="40" w:after="40"/>
              <w:jc w:val="center"/>
              <w:rPr>
                <w:rFonts w:ascii="Arial" w:hAnsi="Arial" w:cs="Arial"/>
                <w:sz w:val="24"/>
                <w:szCs w:val="24"/>
              </w:rPr>
            </w:pPr>
            <w:r>
              <w:rPr>
                <w:rFonts w:ascii="Arial" w:hAnsi="Arial" w:cs="Arial"/>
                <w:sz w:val="24"/>
                <w:szCs w:val="24"/>
              </w:rPr>
              <w:t>6.5</w:t>
            </w:r>
          </w:p>
        </w:tc>
        <w:tc>
          <w:tcPr>
            <w:tcW w:w="2471" w:type="dxa"/>
          </w:tcPr>
          <w:p w14:paraId="747A0B53" w14:textId="217955BC" w:rsidR="000364B8" w:rsidRPr="005162DE" w:rsidRDefault="000364B8" w:rsidP="000364B8">
            <w:pPr>
              <w:spacing w:before="40" w:after="40"/>
              <w:rPr>
                <w:rFonts w:ascii="Arial" w:hAnsi="Arial" w:cs="Arial"/>
                <w:sz w:val="24"/>
                <w:szCs w:val="24"/>
              </w:rPr>
            </w:pPr>
            <w:proofErr w:type="spellStart"/>
            <w:r w:rsidRPr="00960CD5">
              <w:rPr>
                <w:rFonts w:ascii="Arial" w:hAnsi="Arial" w:cs="Arial"/>
                <w:sz w:val="24"/>
                <w:szCs w:val="24"/>
              </w:rPr>
              <w:t>Perfluorooctanesulfonic</w:t>
            </w:r>
            <w:proofErr w:type="spellEnd"/>
            <w:r w:rsidRPr="00960CD5">
              <w:rPr>
                <w:rFonts w:ascii="Arial" w:hAnsi="Arial" w:cs="Arial"/>
                <w:sz w:val="24"/>
                <w:szCs w:val="24"/>
              </w:rPr>
              <w:t xml:space="preserve"> acid</w:t>
            </w:r>
            <w:r>
              <w:rPr>
                <w:rFonts w:ascii="Arial" w:hAnsi="Arial" w:cs="Arial"/>
                <w:sz w:val="24"/>
                <w:szCs w:val="24"/>
              </w:rPr>
              <w:t xml:space="preserve"> </w:t>
            </w:r>
            <w:r w:rsidRPr="00960CD5">
              <w:rPr>
                <w:rFonts w:ascii="Arial" w:hAnsi="Arial" w:cs="Arial"/>
                <w:sz w:val="24"/>
                <w:szCs w:val="24"/>
              </w:rPr>
              <w:t>exposures resulted in immune</w:t>
            </w:r>
            <w:r>
              <w:rPr>
                <w:rFonts w:ascii="Arial" w:hAnsi="Arial" w:cs="Arial"/>
                <w:sz w:val="24"/>
                <w:szCs w:val="24"/>
              </w:rPr>
              <w:t xml:space="preserve"> suppression and c</w:t>
            </w:r>
            <w:r w:rsidRPr="00960CD5">
              <w:rPr>
                <w:rFonts w:ascii="Arial" w:hAnsi="Arial" w:cs="Arial"/>
                <w:sz w:val="24"/>
                <w:szCs w:val="24"/>
              </w:rPr>
              <w:t>ancer in</w:t>
            </w:r>
            <w:r>
              <w:rPr>
                <w:rFonts w:ascii="Arial" w:hAnsi="Arial" w:cs="Arial"/>
                <w:sz w:val="24"/>
                <w:szCs w:val="24"/>
              </w:rPr>
              <w:t xml:space="preserve"> </w:t>
            </w:r>
            <w:r w:rsidRPr="00960CD5">
              <w:rPr>
                <w:rFonts w:ascii="Arial" w:hAnsi="Arial" w:cs="Arial"/>
                <w:sz w:val="24"/>
                <w:szCs w:val="24"/>
              </w:rPr>
              <w:t>laboratory animals.</w:t>
            </w:r>
          </w:p>
        </w:tc>
      </w:tr>
      <w:tr w:rsidR="000364B8" w:rsidRPr="005162DE" w14:paraId="3DC1EC0D" w14:textId="77777777" w:rsidTr="002D3FB5">
        <w:trPr>
          <w:trHeight w:val="432"/>
        </w:trPr>
        <w:tc>
          <w:tcPr>
            <w:tcW w:w="2245" w:type="dxa"/>
          </w:tcPr>
          <w:p w14:paraId="301C4362" w14:textId="30859B40" w:rsidR="000364B8" w:rsidRPr="005162DE" w:rsidRDefault="000364B8" w:rsidP="000364B8">
            <w:pPr>
              <w:spacing w:before="40" w:after="40"/>
              <w:rPr>
                <w:rFonts w:ascii="Arial" w:hAnsi="Arial" w:cs="Arial"/>
                <w:sz w:val="24"/>
                <w:szCs w:val="24"/>
              </w:rPr>
            </w:pPr>
            <w:r w:rsidRPr="0098134B">
              <w:rPr>
                <w:rFonts w:ascii="Arial" w:hAnsi="Arial" w:cs="Arial"/>
                <w:sz w:val="24"/>
                <w:szCs w:val="24"/>
              </w:rPr>
              <w:t>PFOA</w:t>
            </w:r>
            <w:r w:rsidR="000E2711">
              <w:rPr>
                <w:rFonts w:ascii="Arial" w:hAnsi="Arial" w:cs="Arial"/>
                <w:sz w:val="24"/>
                <w:szCs w:val="24"/>
              </w:rPr>
              <w:t xml:space="preserve"> (ng/L)</w:t>
            </w:r>
          </w:p>
        </w:tc>
        <w:tc>
          <w:tcPr>
            <w:tcW w:w="1440" w:type="dxa"/>
          </w:tcPr>
          <w:p w14:paraId="4751C8FD" w14:textId="473527ED" w:rsidR="000364B8" w:rsidRPr="005162DE" w:rsidRDefault="00FF1F09" w:rsidP="000364B8">
            <w:pPr>
              <w:spacing w:before="40" w:after="40"/>
              <w:jc w:val="center"/>
              <w:rPr>
                <w:rFonts w:ascii="Arial" w:hAnsi="Arial" w:cs="Arial"/>
                <w:sz w:val="24"/>
                <w:szCs w:val="24"/>
              </w:rPr>
            </w:pPr>
            <w:r>
              <w:rPr>
                <w:rFonts w:ascii="Arial" w:hAnsi="Arial" w:cs="Arial"/>
                <w:sz w:val="24"/>
                <w:szCs w:val="24"/>
              </w:rPr>
              <w:t>3/31/22 &amp; 6/16/22 &amp; 9/30/22</w:t>
            </w:r>
          </w:p>
        </w:tc>
        <w:tc>
          <w:tcPr>
            <w:tcW w:w="1350" w:type="dxa"/>
          </w:tcPr>
          <w:p w14:paraId="27986934" w14:textId="0DE81DBF" w:rsidR="000364B8" w:rsidRPr="005162DE" w:rsidRDefault="00FF1F09" w:rsidP="000364B8">
            <w:pPr>
              <w:spacing w:before="40" w:after="40"/>
              <w:rPr>
                <w:rFonts w:ascii="Arial" w:hAnsi="Arial" w:cs="Arial"/>
                <w:sz w:val="24"/>
                <w:szCs w:val="24"/>
              </w:rPr>
            </w:pPr>
            <w:r>
              <w:rPr>
                <w:rFonts w:ascii="Arial" w:hAnsi="Arial" w:cs="Arial"/>
                <w:sz w:val="24"/>
                <w:szCs w:val="24"/>
              </w:rPr>
              <w:t>2.8 – 3.3</w:t>
            </w:r>
          </w:p>
        </w:tc>
        <w:tc>
          <w:tcPr>
            <w:tcW w:w="1530" w:type="dxa"/>
          </w:tcPr>
          <w:p w14:paraId="1D08BAD2" w14:textId="54DA30F4" w:rsidR="000364B8" w:rsidRPr="005162DE" w:rsidRDefault="00FF1F09" w:rsidP="000364B8">
            <w:pPr>
              <w:spacing w:before="40" w:after="40"/>
              <w:jc w:val="center"/>
              <w:rPr>
                <w:rFonts w:ascii="Arial" w:hAnsi="Arial" w:cs="Arial"/>
                <w:sz w:val="24"/>
                <w:szCs w:val="24"/>
              </w:rPr>
            </w:pPr>
            <w:r>
              <w:rPr>
                <w:rFonts w:ascii="Arial" w:hAnsi="Arial" w:cs="Arial"/>
                <w:sz w:val="24"/>
                <w:szCs w:val="24"/>
              </w:rPr>
              <w:t>2.8 – 3.3</w:t>
            </w:r>
          </w:p>
        </w:tc>
        <w:tc>
          <w:tcPr>
            <w:tcW w:w="1800" w:type="dxa"/>
          </w:tcPr>
          <w:p w14:paraId="72F3D657" w14:textId="1D2156E8" w:rsidR="000364B8" w:rsidRPr="005162DE" w:rsidRDefault="000E2711" w:rsidP="000364B8">
            <w:pPr>
              <w:spacing w:before="40" w:after="40"/>
              <w:jc w:val="center"/>
              <w:rPr>
                <w:rFonts w:ascii="Arial" w:hAnsi="Arial" w:cs="Arial"/>
                <w:sz w:val="24"/>
                <w:szCs w:val="24"/>
              </w:rPr>
            </w:pPr>
            <w:r>
              <w:rPr>
                <w:rFonts w:ascii="Arial" w:hAnsi="Arial" w:cs="Arial"/>
                <w:sz w:val="24"/>
                <w:szCs w:val="24"/>
              </w:rPr>
              <w:t>5.1</w:t>
            </w:r>
          </w:p>
        </w:tc>
        <w:tc>
          <w:tcPr>
            <w:tcW w:w="2471" w:type="dxa"/>
          </w:tcPr>
          <w:p w14:paraId="0F72AF76" w14:textId="34FE85A3" w:rsidR="000364B8" w:rsidRPr="005162DE" w:rsidRDefault="000364B8" w:rsidP="000364B8">
            <w:pPr>
              <w:spacing w:before="40" w:after="40"/>
              <w:rPr>
                <w:rFonts w:ascii="Arial" w:hAnsi="Arial" w:cs="Arial"/>
                <w:sz w:val="24"/>
                <w:szCs w:val="24"/>
              </w:rPr>
            </w:pPr>
            <w:r w:rsidRPr="00960CD5">
              <w:rPr>
                <w:rFonts w:ascii="Arial" w:hAnsi="Arial" w:cs="Arial"/>
                <w:sz w:val="24"/>
                <w:szCs w:val="24"/>
              </w:rPr>
              <w:t>Perfluorooctanoic</w:t>
            </w:r>
            <w:r>
              <w:rPr>
                <w:rFonts w:ascii="Arial" w:hAnsi="Arial" w:cs="Arial"/>
                <w:sz w:val="24"/>
                <w:szCs w:val="24"/>
              </w:rPr>
              <w:t xml:space="preserve"> </w:t>
            </w:r>
            <w:r w:rsidRPr="00960CD5">
              <w:rPr>
                <w:rFonts w:ascii="Arial" w:hAnsi="Arial" w:cs="Arial"/>
                <w:sz w:val="24"/>
                <w:szCs w:val="24"/>
              </w:rPr>
              <w:t>acid exposures</w:t>
            </w:r>
            <w:r>
              <w:rPr>
                <w:rFonts w:ascii="Arial" w:hAnsi="Arial" w:cs="Arial"/>
                <w:sz w:val="24"/>
                <w:szCs w:val="24"/>
              </w:rPr>
              <w:t xml:space="preserve"> r</w:t>
            </w:r>
            <w:r w:rsidRPr="00960CD5">
              <w:rPr>
                <w:rFonts w:ascii="Arial" w:hAnsi="Arial" w:cs="Arial"/>
                <w:sz w:val="24"/>
                <w:szCs w:val="24"/>
              </w:rPr>
              <w:t>esulted in increased</w:t>
            </w:r>
            <w:r>
              <w:rPr>
                <w:rFonts w:ascii="Arial" w:hAnsi="Arial" w:cs="Arial"/>
                <w:sz w:val="24"/>
                <w:szCs w:val="24"/>
              </w:rPr>
              <w:t xml:space="preserve"> </w:t>
            </w:r>
            <w:r w:rsidRPr="00960CD5">
              <w:rPr>
                <w:rFonts w:ascii="Arial" w:hAnsi="Arial" w:cs="Arial"/>
                <w:sz w:val="24"/>
                <w:szCs w:val="24"/>
              </w:rPr>
              <w:t>liver weight</w:t>
            </w:r>
            <w:r>
              <w:rPr>
                <w:rFonts w:ascii="Arial" w:hAnsi="Arial" w:cs="Arial"/>
                <w:sz w:val="24"/>
                <w:szCs w:val="24"/>
              </w:rPr>
              <w:t xml:space="preserve"> </w:t>
            </w:r>
            <w:r w:rsidRPr="00960CD5">
              <w:rPr>
                <w:rFonts w:ascii="Arial" w:hAnsi="Arial" w:cs="Arial"/>
                <w:sz w:val="24"/>
                <w:szCs w:val="24"/>
              </w:rPr>
              <w:t>and</w:t>
            </w:r>
            <w:r>
              <w:rPr>
                <w:rFonts w:ascii="Arial" w:hAnsi="Arial" w:cs="Arial"/>
                <w:sz w:val="24"/>
                <w:szCs w:val="24"/>
              </w:rPr>
              <w:t xml:space="preserve"> </w:t>
            </w:r>
            <w:r w:rsidRPr="00960CD5">
              <w:rPr>
                <w:rFonts w:ascii="Arial" w:hAnsi="Arial" w:cs="Arial"/>
                <w:sz w:val="24"/>
                <w:szCs w:val="24"/>
              </w:rPr>
              <w:t>cancer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364B8" w:rsidRPr="005162DE" w14:paraId="4DAE6475" w14:textId="77777777" w:rsidTr="002D3FB5">
        <w:trPr>
          <w:trHeight w:val="449"/>
        </w:trPr>
        <w:tc>
          <w:tcPr>
            <w:tcW w:w="1975" w:type="dxa"/>
            <w:tcMar>
              <w:left w:w="58" w:type="dxa"/>
              <w:right w:w="58" w:type="dxa"/>
            </w:tcMar>
          </w:tcPr>
          <w:p w14:paraId="47CCBF74" w14:textId="328B71B4"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2250" w:type="dxa"/>
            <w:tcMar>
              <w:left w:w="58" w:type="dxa"/>
              <w:right w:w="58" w:type="dxa"/>
            </w:tcMar>
          </w:tcPr>
          <w:p w14:paraId="14D9A9B3" w14:textId="501BE7E2"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1890" w:type="dxa"/>
            <w:tcMar>
              <w:left w:w="58" w:type="dxa"/>
              <w:right w:w="58" w:type="dxa"/>
            </w:tcMar>
          </w:tcPr>
          <w:p w14:paraId="7D4FE25C" w14:textId="45F7247E"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2160" w:type="dxa"/>
            <w:tcMar>
              <w:left w:w="58" w:type="dxa"/>
              <w:right w:w="58" w:type="dxa"/>
            </w:tcMar>
          </w:tcPr>
          <w:p w14:paraId="7CABD54F" w14:textId="6ECFABE4"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2367" w:type="dxa"/>
            <w:tcMar>
              <w:left w:w="58" w:type="dxa"/>
              <w:right w:w="58" w:type="dxa"/>
            </w:tcMar>
          </w:tcPr>
          <w:p w14:paraId="67233B7F" w14:textId="605B039F"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r>
      <w:tr w:rsidR="000364B8" w:rsidRPr="005162DE" w14:paraId="2E9938F8" w14:textId="77777777" w:rsidTr="002D3FB5">
        <w:trPr>
          <w:trHeight w:val="449"/>
        </w:trPr>
        <w:tc>
          <w:tcPr>
            <w:tcW w:w="1975" w:type="dxa"/>
            <w:tcMar>
              <w:left w:w="58" w:type="dxa"/>
              <w:right w:w="58" w:type="dxa"/>
            </w:tcMar>
          </w:tcPr>
          <w:p w14:paraId="3650B6DE" w14:textId="00272A3B"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2250" w:type="dxa"/>
            <w:tcMar>
              <w:left w:w="58" w:type="dxa"/>
              <w:right w:w="58" w:type="dxa"/>
            </w:tcMar>
          </w:tcPr>
          <w:p w14:paraId="51843EBC" w14:textId="046EAABE"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1890" w:type="dxa"/>
            <w:tcMar>
              <w:left w:w="58" w:type="dxa"/>
              <w:right w:w="58" w:type="dxa"/>
            </w:tcMar>
          </w:tcPr>
          <w:p w14:paraId="59679533" w14:textId="1A80F07C"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2160" w:type="dxa"/>
            <w:tcMar>
              <w:left w:w="58" w:type="dxa"/>
              <w:right w:w="58" w:type="dxa"/>
            </w:tcMar>
          </w:tcPr>
          <w:p w14:paraId="75D3BCBC" w14:textId="2C1BAD06"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c>
          <w:tcPr>
            <w:tcW w:w="2367" w:type="dxa"/>
            <w:tcMar>
              <w:left w:w="58" w:type="dxa"/>
              <w:right w:w="58" w:type="dxa"/>
            </w:tcMar>
          </w:tcPr>
          <w:p w14:paraId="56FC7820" w14:textId="1AAA4164" w:rsidR="000364B8" w:rsidRPr="005162DE" w:rsidRDefault="000364B8" w:rsidP="000364B8">
            <w:pPr>
              <w:spacing w:before="40" w:after="40"/>
              <w:rPr>
                <w:rFonts w:ascii="Arial" w:hAnsi="Arial" w:cs="Arial"/>
                <w:sz w:val="24"/>
                <w:szCs w:val="24"/>
              </w:rPr>
            </w:pPr>
            <w:r w:rsidRPr="007A39F6">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364B8" w:rsidRPr="005162DE" w14:paraId="7EAE4A77" w14:textId="77777777" w:rsidTr="002D3FB5">
        <w:trPr>
          <w:trHeight w:val="504"/>
          <w:tblHeader/>
        </w:trPr>
        <w:tc>
          <w:tcPr>
            <w:tcW w:w="2515" w:type="dxa"/>
            <w:tcMar>
              <w:left w:w="58" w:type="dxa"/>
              <w:right w:w="58" w:type="dxa"/>
            </w:tcMar>
          </w:tcPr>
          <w:p w14:paraId="61E1FA68" w14:textId="1E35F605" w:rsidR="000364B8" w:rsidRPr="005162DE" w:rsidRDefault="000364B8" w:rsidP="000364B8">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900054A" w:rsidR="000364B8" w:rsidRPr="005162DE" w:rsidRDefault="000364B8" w:rsidP="000364B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D0A6DB8" w:rsidR="000364B8" w:rsidRPr="005162DE" w:rsidRDefault="000364B8" w:rsidP="000364B8">
            <w:pPr>
              <w:spacing w:before="40" w:after="40"/>
              <w:jc w:val="center"/>
              <w:rPr>
                <w:rFonts w:ascii="Arial" w:hAnsi="Arial" w:cs="Arial"/>
                <w:sz w:val="24"/>
                <w:szCs w:val="24"/>
              </w:rPr>
            </w:pPr>
            <w:r>
              <w:rPr>
                <w:rFonts w:ascii="Arial" w:hAnsi="Arial" w:cs="Arial"/>
                <w:sz w:val="24"/>
                <w:szCs w:val="24"/>
              </w:rPr>
              <w:t>N/A – None Detected</w:t>
            </w:r>
          </w:p>
        </w:tc>
        <w:tc>
          <w:tcPr>
            <w:tcW w:w="1080" w:type="dxa"/>
            <w:tcMar>
              <w:left w:w="58" w:type="dxa"/>
              <w:right w:w="58" w:type="dxa"/>
            </w:tcMar>
          </w:tcPr>
          <w:p w14:paraId="06B93DD8" w14:textId="07A85900" w:rsidR="000364B8" w:rsidRPr="005162DE" w:rsidRDefault="000364B8" w:rsidP="000364B8">
            <w:pPr>
              <w:spacing w:before="40" w:after="40"/>
              <w:jc w:val="center"/>
              <w:rPr>
                <w:rFonts w:ascii="Arial" w:hAnsi="Arial" w:cs="Arial"/>
                <w:sz w:val="24"/>
                <w:szCs w:val="24"/>
              </w:rPr>
            </w:pPr>
            <w:r w:rsidRPr="008D069B">
              <w:rPr>
                <w:rFonts w:ascii="Arial" w:hAnsi="Arial" w:cs="Arial"/>
                <w:sz w:val="24"/>
                <w:szCs w:val="24"/>
              </w:rPr>
              <w:t>N/A – None Detected</w:t>
            </w:r>
          </w:p>
        </w:tc>
        <w:tc>
          <w:tcPr>
            <w:tcW w:w="1440" w:type="dxa"/>
            <w:tcMar>
              <w:left w:w="58" w:type="dxa"/>
              <w:right w:w="58" w:type="dxa"/>
            </w:tcMar>
          </w:tcPr>
          <w:p w14:paraId="0B864A4F" w14:textId="7AE4F817" w:rsidR="000364B8" w:rsidRPr="005162DE" w:rsidRDefault="000364B8" w:rsidP="000364B8">
            <w:pPr>
              <w:spacing w:before="40" w:after="40"/>
              <w:jc w:val="center"/>
              <w:rPr>
                <w:rFonts w:ascii="Arial" w:hAnsi="Arial" w:cs="Arial"/>
                <w:sz w:val="24"/>
                <w:szCs w:val="24"/>
              </w:rPr>
            </w:pPr>
            <w:r w:rsidRPr="008D069B">
              <w:rPr>
                <w:rFonts w:ascii="Arial" w:hAnsi="Arial" w:cs="Arial"/>
                <w:sz w:val="24"/>
                <w:szCs w:val="24"/>
              </w:rPr>
              <w:t>N/A – None Detected</w:t>
            </w:r>
          </w:p>
        </w:tc>
        <w:tc>
          <w:tcPr>
            <w:tcW w:w="2741" w:type="dxa"/>
            <w:tcMar>
              <w:left w:w="58" w:type="dxa"/>
              <w:right w:w="58" w:type="dxa"/>
            </w:tcMar>
          </w:tcPr>
          <w:p w14:paraId="39DD6D13" w14:textId="3FE32A95" w:rsidR="000364B8" w:rsidRPr="005162DE" w:rsidRDefault="000364B8" w:rsidP="000364B8">
            <w:pPr>
              <w:spacing w:before="40" w:after="40"/>
              <w:rPr>
                <w:rFonts w:ascii="Arial" w:hAnsi="Arial" w:cs="Arial"/>
                <w:sz w:val="24"/>
                <w:szCs w:val="24"/>
              </w:rPr>
            </w:pPr>
            <w:r w:rsidRPr="005F082E">
              <w:rPr>
                <w:rFonts w:ascii="Arial" w:hAnsi="Arial" w:cs="Arial"/>
                <w:sz w:val="24"/>
                <w:szCs w:val="24"/>
              </w:rPr>
              <w:t>Human and animal fecal waste</w:t>
            </w:r>
          </w:p>
        </w:tc>
      </w:tr>
      <w:tr w:rsidR="000364B8" w:rsidRPr="005162DE" w14:paraId="2798A494" w14:textId="77777777" w:rsidTr="002D3FB5">
        <w:trPr>
          <w:trHeight w:val="504"/>
          <w:tblHeader/>
        </w:trPr>
        <w:tc>
          <w:tcPr>
            <w:tcW w:w="2515" w:type="dxa"/>
            <w:tcMar>
              <w:left w:w="58" w:type="dxa"/>
              <w:right w:w="58" w:type="dxa"/>
            </w:tcMar>
          </w:tcPr>
          <w:p w14:paraId="7F6BABE4" w14:textId="66AEBBA0" w:rsidR="000364B8" w:rsidRPr="005162DE" w:rsidRDefault="000364B8" w:rsidP="000364B8">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3A88975" w:rsidR="000364B8" w:rsidRPr="005162DE" w:rsidRDefault="000364B8" w:rsidP="000364B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414A3AE" w:rsidR="000364B8" w:rsidRPr="005162DE" w:rsidRDefault="000364B8" w:rsidP="000364B8">
            <w:pPr>
              <w:spacing w:before="40" w:after="40"/>
              <w:jc w:val="center"/>
              <w:rPr>
                <w:rFonts w:ascii="Arial" w:hAnsi="Arial" w:cs="Arial"/>
                <w:sz w:val="24"/>
                <w:szCs w:val="24"/>
              </w:rPr>
            </w:pPr>
            <w:r>
              <w:rPr>
                <w:rFonts w:ascii="Arial" w:hAnsi="Arial" w:cs="Arial"/>
                <w:sz w:val="24"/>
                <w:szCs w:val="24"/>
              </w:rPr>
              <w:t>N/A – None Detected</w:t>
            </w:r>
          </w:p>
        </w:tc>
        <w:tc>
          <w:tcPr>
            <w:tcW w:w="1080" w:type="dxa"/>
            <w:tcMar>
              <w:left w:w="58" w:type="dxa"/>
              <w:right w:w="58" w:type="dxa"/>
            </w:tcMar>
          </w:tcPr>
          <w:p w14:paraId="5174934D" w14:textId="0318EA1E" w:rsidR="000364B8" w:rsidRPr="005162DE" w:rsidRDefault="000364B8" w:rsidP="000364B8">
            <w:pPr>
              <w:spacing w:before="40" w:after="40"/>
              <w:jc w:val="center"/>
              <w:rPr>
                <w:rFonts w:ascii="Arial" w:hAnsi="Arial" w:cs="Arial"/>
                <w:sz w:val="24"/>
                <w:szCs w:val="24"/>
              </w:rPr>
            </w:pPr>
            <w:r w:rsidRPr="008D069B">
              <w:rPr>
                <w:rFonts w:ascii="Arial" w:hAnsi="Arial" w:cs="Arial"/>
                <w:sz w:val="24"/>
                <w:szCs w:val="24"/>
              </w:rPr>
              <w:t>N/A – None Detected</w:t>
            </w:r>
          </w:p>
        </w:tc>
        <w:tc>
          <w:tcPr>
            <w:tcW w:w="1440" w:type="dxa"/>
            <w:tcMar>
              <w:left w:w="58" w:type="dxa"/>
              <w:right w:w="58" w:type="dxa"/>
            </w:tcMar>
          </w:tcPr>
          <w:p w14:paraId="0043E497" w14:textId="72BB1820" w:rsidR="000364B8" w:rsidRPr="005162DE" w:rsidRDefault="000364B8" w:rsidP="000364B8">
            <w:pPr>
              <w:spacing w:before="40" w:after="40"/>
              <w:jc w:val="center"/>
              <w:rPr>
                <w:rFonts w:ascii="Arial" w:hAnsi="Arial" w:cs="Arial"/>
                <w:sz w:val="24"/>
                <w:szCs w:val="24"/>
              </w:rPr>
            </w:pPr>
            <w:r w:rsidRPr="008D069B">
              <w:rPr>
                <w:rFonts w:ascii="Arial" w:hAnsi="Arial" w:cs="Arial"/>
                <w:sz w:val="24"/>
                <w:szCs w:val="24"/>
              </w:rPr>
              <w:t>N/A – None Detected</w:t>
            </w:r>
          </w:p>
        </w:tc>
        <w:tc>
          <w:tcPr>
            <w:tcW w:w="2741" w:type="dxa"/>
            <w:tcMar>
              <w:left w:w="58" w:type="dxa"/>
              <w:right w:w="58" w:type="dxa"/>
            </w:tcMar>
          </w:tcPr>
          <w:p w14:paraId="47A532BF" w14:textId="41C25731" w:rsidR="000364B8" w:rsidRPr="005162DE" w:rsidRDefault="000364B8" w:rsidP="000364B8">
            <w:pPr>
              <w:spacing w:before="40" w:after="40"/>
              <w:rPr>
                <w:rFonts w:ascii="Arial" w:hAnsi="Arial" w:cs="Arial"/>
                <w:sz w:val="24"/>
                <w:szCs w:val="24"/>
              </w:rPr>
            </w:pPr>
            <w:r w:rsidRPr="005F082E">
              <w:rPr>
                <w:rFonts w:ascii="Arial" w:hAnsi="Arial" w:cs="Arial"/>
                <w:sz w:val="24"/>
                <w:szCs w:val="24"/>
              </w:rPr>
              <w:t>Human and animal fecal waste</w:t>
            </w:r>
          </w:p>
        </w:tc>
      </w:tr>
      <w:tr w:rsidR="000364B8" w:rsidRPr="005162DE" w14:paraId="317EBD70" w14:textId="77777777" w:rsidTr="002D3FB5">
        <w:trPr>
          <w:trHeight w:val="504"/>
          <w:tblHeader/>
        </w:trPr>
        <w:tc>
          <w:tcPr>
            <w:tcW w:w="2515" w:type="dxa"/>
            <w:tcMar>
              <w:left w:w="58" w:type="dxa"/>
              <w:right w:w="58" w:type="dxa"/>
            </w:tcMar>
          </w:tcPr>
          <w:p w14:paraId="25EE85CD" w14:textId="747BADCB" w:rsidR="000364B8" w:rsidRPr="005162DE" w:rsidRDefault="000364B8" w:rsidP="000364B8">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F45F723" w:rsidR="000364B8" w:rsidRPr="005162DE" w:rsidRDefault="000364B8" w:rsidP="000364B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C1A01D6" w:rsidR="000364B8" w:rsidRPr="005162DE" w:rsidRDefault="000364B8" w:rsidP="000364B8">
            <w:pPr>
              <w:spacing w:before="40" w:after="40"/>
              <w:jc w:val="center"/>
              <w:rPr>
                <w:rFonts w:ascii="Arial" w:hAnsi="Arial" w:cs="Arial"/>
                <w:sz w:val="24"/>
                <w:szCs w:val="24"/>
              </w:rPr>
            </w:pPr>
            <w:r>
              <w:rPr>
                <w:rFonts w:ascii="Arial" w:hAnsi="Arial" w:cs="Arial"/>
                <w:sz w:val="24"/>
                <w:szCs w:val="24"/>
              </w:rPr>
              <w:t>N/A – None Detected</w:t>
            </w:r>
          </w:p>
        </w:tc>
        <w:tc>
          <w:tcPr>
            <w:tcW w:w="1080" w:type="dxa"/>
            <w:tcMar>
              <w:left w:w="58" w:type="dxa"/>
              <w:right w:w="58" w:type="dxa"/>
            </w:tcMar>
          </w:tcPr>
          <w:p w14:paraId="4269329F" w14:textId="6457D83B" w:rsidR="000364B8" w:rsidRPr="005162DE" w:rsidRDefault="000364B8" w:rsidP="000364B8">
            <w:pPr>
              <w:spacing w:before="40" w:after="40"/>
              <w:jc w:val="center"/>
              <w:rPr>
                <w:rFonts w:ascii="Arial" w:hAnsi="Arial" w:cs="Arial"/>
                <w:sz w:val="24"/>
                <w:szCs w:val="24"/>
              </w:rPr>
            </w:pPr>
            <w:r w:rsidRPr="008D069B">
              <w:rPr>
                <w:rFonts w:ascii="Arial" w:hAnsi="Arial" w:cs="Arial"/>
                <w:sz w:val="24"/>
                <w:szCs w:val="24"/>
              </w:rPr>
              <w:t>N/A – None Detected</w:t>
            </w:r>
          </w:p>
        </w:tc>
        <w:tc>
          <w:tcPr>
            <w:tcW w:w="1440" w:type="dxa"/>
            <w:tcMar>
              <w:left w:w="58" w:type="dxa"/>
              <w:right w:w="58" w:type="dxa"/>
            </w:tcMar>
          </w:tcPr>
          <w:p w14:paraId="58C7E4DD" w14:textId="2DE8414A" w:rsidR="000364B8" w:rsidRPr="005162DE" w:rsidRDefault="000364B8" w:rsidP="000364B8">
            <w:pPr>
              <w:spacing w:before="40" w:after="40"/>
              <w:jc w:val="center"/>
              <w:rPr>
                <w:rFonts w:ascii="Arial" w:hAnsi="Arial" w:cs="Arial"/>
                <w:sz w:val="24"/>
                <w:szCs w:val="24"/>
              </w:rPr>
            </w:pPr>
            <w:r w:rsidRPr="008D069B">
              <w:rPr>
                <w:rFonts w:ascii="Arial" w:hAnsi="Arial" w:cs="Arial"/>
                <w:sz w:val="24"/>
                <w:szCs w:val="24"/>
              </w:rPr>
              <w:t>N/A – None Detected</w:t>
            </w:r>
          </w:p>
        </w:tc>
        <w:tc>
          <w:tcPr>
            <w:tcW w:w="2741" w:type="dxa"/>
            <w:tcMar>
              <w:left w:w="58" w:type="dxa"/>
              <w:right w:w="58" w:type="dxa"/>
            </w:tcMar>
          </w:tcPr>
          <w:p w14:paraId="07A3C9BB" w14:textId="2A4B8630" w:rsidR="000364B8" w:rsidRPr="005162DE" w:rsidRDefault="000364B8" w:rsidP="000364B8">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3660FC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8334FF">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C33240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8334FF">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334FF" w:rsidRPr="005162DE" w14:paraId="2BBCF7AD" w14:textId="77777777" w:rsidTr="002D3FB5">
        <w:trPr>
          <w:trHeight w:val="449"/>
        </w:trPr>
        <w:tc>
          <w:tcPr>
            <w:tcW w:w="1975" w:type="dxa"/>
            <w:tcMar>
              <w:left w:w="58" w:type="dxa"/>
              <w:right w:w="58" w:type="dxa"/>
            </w:tcMar>
          </w:tcPr>
          <w:p w14:paraId="353E6FC8" w14:textId="1588C834" w:rsidR="008334FF" w:rsidRPr="005162DE" w:rsidRDefault="008334FF" w:rsidP="008334FF">
            <w:pPr>
              <w:keepNext/>
              <w:spacing w:before="40" w:after="40"/>
              <w:rPr>
                <w:rFonts w:ascii="Arial" w:hAnsi="Arial" w:cs="Arial"/>
                <w:sz w:val="24"/>
                <w:szCs w:val="24"/>
              </w:rPr>
            </w:pPr>
            <w:r w:rsidRPr="007A39F6">
              <w:rPr>
                <w:rFonts w:ascii="Arial" w:hAnsi="Arial" w:cs="Arial"/>
                <w:sz w:val="24"/>
                <w:szCs w:val="24"/>
              </w:rPr>
              <w:t>N/A</w:t>
            </w:r>
          </w:p>
        </w:tc>
        <w:tc>
          <w:tcPr>
            <w:tcW w:w="2250" w:type="dxa"/>
            <w:tcMar>
              <w:left w:w="58" w:type="dxa"/>
              <w:right w:w="58" w:type="dxa"/>
            </w:tcMar>
          </w:tcPr>
          <w:p w14:paraId="37531B9B" w14:textId="17BDFC4A" w:rsidR="008334FF" w:rsidRPr="005162DE" w:rsidRDefault="008334FF" w:rsidP="008334FF">
            <w:pPr>
              <w:keepNext/>
              <w:spacing w:before="40" w:after="40"/>
              <w:rPr>
                <w:rFonts w:ascii="Arial" w:hAnsi="Arial" w:cs="Arial"/>
                <w:sz w:val="24"/>
                <w:szCs w:val="24"/>
              </w:rPr>
            </w:pPr>
            <w:r w:rsidRPr="007A39F6">
              <w:rPr>
                <w:rFonts w:ascii="Arial" w:hAnsi="Arial" w:cs="Arial"/>
                <w:sz w:val="24"/>
                <w:szCs w:val="24"/>
              </w:rPr>
              <w:t>N/A</w:t>
            </w:r>
          </w:p>
        </w:tc>
        <w:tc>
          <w:tcPr>
            <w:tcW w:w="1890" w:type="dxa"/>
            <w:tcMar>
              <w:left w:w="58" w:type="dxa"/>
              <w:right w:w="58" w:type="dxa"/>
            </w:tcMar>
          </w:tcPr>
          <w:p w14:paraId="0A56DBE2" w14:textId="6802C14C" w:rsidR="008334FF" w:rsidRPr="005162DE" w:rsidRDefault="008334FF" w:rsidP="008334FF">
            <w:pPr>
              <w:keepNext/>
              <w:spacing w:before="40" w:after="40"/>
              <w:rPr>
                <w:rFonts w:ascii="Arial" w:hAnsi="Arial" w:cs="Arial"/>
                <w:sz w:val="24"/>
                <w:szCs w:val="24"/>
              </w:rPr>
            </w:pPr>
            <w:r w:rsidRPr="007A39F6">
              <w:rPr>
                <w:rFonts w:ascii="Arial" w:hAnsi="Arial" w:cs="Arial"/>
                <w:sz w:val="24"/>
                <w:szCs w:val="24"/>
              </w:rPr>
              <w:t>N/A</w:t>
            </w:r>
          </w:p>
        </w:tc>
        <w:tc>
          <w:tcPr>
            <w:tcW w:w="2160" w:type="dxa"/>
            <w:tcMar>
              <w:left w:w="58" w:type="dxa"/>
              <w:right w:w="58" w:type="dxa"/>
            </w:tcMar>
          </w:tcPr>
          <w:p w14:paraId="413E2705" w14:textId="3EEE3073" w:rsidR="008334FF" w:rsidRPr="005162DE" w:rsidRDefault="008334FF" w:rsidP="008334FF">
            <w:pPr>
              <w:keepNext/>
              <w:spacing w:before="40" w:after="40"/>
              <w:rPr>
                <w:rFonts w:ascii="Arial" w:hAnsi="Arial" w:cs="Arial"/>
                <w:sz w:val="24"/>
                <w:szCs w:val="24"/>
              </w:rPr>
            </w:pPr>
            <w:r w:rsidRPr="007A39F6">
              <w:rPr>
                <w:rFonts w:ascii="Arial" w:hAnsi="Arial" w:cs="Arial"/>
                <w:sz w:val="24"/>
                <w:szCs w:val="24"/>
              </w:rPr>
              <w:t>N/A</w:t>
            </w:r>
          </w:p>
        </w:tc>
        <w:tc>
          <w:tcPr>
            <w:tcW w:w="2367" w:type="dxa"/>
            <w:tcMar>
              <w:left w:w="58" w:type="dxa"/>
              <w:right w:w="58" w:type="dxa"/>
            </w:tcMar>
          </w:tcPr>
          <w:p w14:paraId="086BD452" w14:textId="7BEC2F5D" w:rsidR="008334FF" w:rsidRPr="005162DE" w:rsidRDefault="008334FF" w:rsidP="008334FF">
            <w:pPr>
              <w:keepNext/>
              <w:spacing w:before="40" w:after="40"/>
              <w:rPr>
                <w:rFonts w:ascii="Arial" w:hAnsi="Arial" w:cs="Arial"/>
                <w:sz w:val="24"/>
                <w:szCs w:val="24"/>
              </w:rPr>
            </w:pPr>
            <w:r w:rsidRPr="007A39F6">
              <w:rPr>
                <w:rFonts w:ascii="Arial" w:hAnsi="Arial" w:cs="Arial"/>
                <w:sz w:val="24"/>
                <w:szCs w:val="24"/>
              </w:rPr>
              <w:t>N/A</w:t>
            </w:r>
          </w:p>
        </w:tc>
      </w:tr>
      <w:tr w:rsidR="008334FF" w:rsidRPr="005162DE" w14:paraId="504633FC" w14:textId="77777777" w:rsidTr="002D3FB5">
        <w:trPr>
          <w:trHeight w:val="449"/>
        </w:trPr>
        <w:tc>
          <w:tcPr>
            <w:tcW w:w="1975" w:type="dxa"/>
            <w:tcMar>
              <w:left w:w="58" w:type="dxa"/>
              <w:right w:w="58" w:type="dxa"/>
            </w:tcMar>
          </w:tcPr>
          <w:p w14:paraId="0B766FEF" w14:textId="2F8276B1" w:rsidR="008334FF" w:rsidRPr="005162DE" w:rsidRDefault="008334FF" w:rsidP="008334FF">
            <w:pPr>
              <w:spacing w:before="40" w:after="40"/>
              <w:rPr>
                <w:rFonts w:ascii="Arial" w:hAnsi="Arial" w:cs="Arial"/>
                <w:sz w:val="24"/>
                <w:szCs w:val="24"/>
              </w:rPr>
            </w:pPr>
            <w:r w:rsidRPr="007A39F6">
              <w:rPr>
                <w:rFonts w:ascii="Arial" w:hAnsi="Arial" w:cs="Arial"/>
                <w:sz w:val="24"/>
                <w:szCs w:val="24"/>
              </w:rPr>
              <w:t>N/A</w:t>
            </w:r>
          </w:p>
        </w:tc>
        <w:tc>
          <w:tcPr>
            <w:tcW w:w="2250" w:type="dxa"/>
            <w:tcMar>
              <w:left w:w="58" w:type="dxa"/>
              <w:right w:w="58" w:type="dxa"/>
            </w:tcMar>
          </w:tcPr>
          <w:p w14:paraId="59B0CD42" w14:textId="7957DACF" w:rsidR="008334FF" w:rsidRPr="005162DE" w:rsidRDefault="008334FF" w:rsidP="008334FF">
            <w:pPr>
              <w:spacing w:before="40" w:after="40"/>
              <w:rPr>
                <w:rFonts w:ascii="Arial" w:hAnsi="Arial" w:cs="Arial"/>
                <w:sz w:val="24"/>
                <w:szCs w:val="24"/>
              </w:rPr>
            </w:pPr>
            <w:r w:rsidRPr="007A39F6">
              <w:rPr>
                <w:rFonts w:ascii="Arial" w:hAnsi="Arial" w:cs="Arial"/>
                <w:sz w:val="24"/>
                <w:szCs w:val="24"/>
              </w:rPr>
              <w:t>N/A</w:t>
            </w:r>
          </w:p>
        </w:tc>
        <w:tc>
          <w:tcPr>
            <w:tcW w:w="1890" w:type="dxa"/>
            <w:tcMar>
              <w:left w:w="58" w:type="dxa"/>
              <w:right w:w="58" w:type="dxa"/>
            </w:tcMar>
          </w:tcPr>
          <w:p w14:paraId="6EBF47F9" w14:textId="472F4558" w:rsidR="008334FF" w:rsidRPr="005162DE" w:rsidRDefault="008334FF" w:rsidP="008334FF">
            <w:pPr>
              <w:spacing w:before="40" w:after="40"/>
              <w:rPr>
                <w:rFonts w:ascii="Arial" w:hAnsi="Arial" w:cs="Arial"/>
                <w:sz w:val="24"/>
                <w:szCs w:val="24"/>
              </w:rPr>
            </w:pPr>
            <w:r w:rsidRPr="007A39F6">
              <w:rPr>
                <w:rFonts w:ascii="Arial" w:hAnsi="Arial" w:cs="Arial"/>
                <w:sz w:val="24"/>
                <w:szCs w:val="24"/>
              </w:rPr>
              <w:t>N/A</w:t>
            </w:r>
          </w:p>
        </w:tc>
        <w:tc>
          <w:tcPr>
            <w:tcW w:w="2160" w:type="dxa"/>
            <w:tcMar>
              <w:left w:w="58" w:type="dxa"/>
              <w:right w:w="58" w:type="dxa"/>
            </w:tcMar>
          </w:tcPr>
          <w:p w14:paraId="3B3903FC" w14:textId="177DD7EF" w:rsidR="008334FF" w:rsidRPr="005162DE" w:rsidRDefault="008334FF" w:rsidP="008334FF">
            <w:pPr>
              <w:spacing w:before="40" w:after="40"/>
              <w:rPr>
                <w:rFonts w:ascii="Arial" w:hAnsi="Arial" w:cs="Arial"/>
                <w:sz w:val="24"/>
                <w:szCs w:val="24"/>
              </w:rPr>
            </w:pPr>
            <w:r w:rsidRPr="007A39F6">
              <w:rPr>
                <w:rFonts w:ascii="Arial" w:hAnsi="Arial" w:cs="Arial"/>
                <w:sz w:val="24"/>
                <w:szCs w:val="24"/>
              </w:rPr>
              <w:t>N/A</w:t>
            </w:r>
          </w:p>
        </w:tc>
        <w:tc>
          <w:tcPr>
            <w:tcW w:w="2367" w:type="dxa"/>
            <w:tcMar>
              <w:left w:w="58" w:type="dxa"/>
              <w:right w:w="58" w:type="dxa"/>
            </w:tcMar>
          </w:tcPr>
          <w:p w14:paraId="155A9D03" w14:textId="71606413" w:rsidR="008334FF" w:rsidRPr="005162DE" w:rsidRDefault="008334FF" w:rsidP="008334FF">
            <w:pPr>
              <w:spacing w:before="40" w:after="40"/>
              <w:rPr>
                <w:rFonts w:ascii="Arial" w:hAnsi="Arial" w:cs="Arial"/>
                <w:sz w:val="24"/>
                <w:szCs w:val="24"/>
              </w:rPr>
            </w:pPr>
            <w:r w:rsidRPr="007A39F6">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E3E6B1C" w:rsidR="00E80EE7" w:rsidRPr="005162DE" w:rsidRDefault="008334FF"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19B8A381" w:rsidR="00E80EE7" w:rsidRPr="005162DE" w:rsidRDefault="008334FF"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4C22600" w:rsidR="00E80EE7" w:rsidRPr="005162DE" w:rsidRDefault="008334FF"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E207EDF" w:rsidR="00E80EE7" w:rsidRPr="005162DE" w:rsidRDefault="008334FF"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92B80" w:rsidRPr="005162DE" w14:paraId="6AF804E8" w14:textId="77777777" w:rsidTr="002D3FB5">
        <w:trPr>
          <w:trHeight w:val="449"/>
        </w:trPr>
        <w:tc>
          <w:tcPr>
            <w:tcW w:w="1975" w:type="dxa"/>
            <w:tcMar>
              <w:left w:w="58" w:type="dxa"/>
              <w:right w:w="58" w:type="dxa"/>
            </w:tcMar>
          </w:tcPr>
          <w:p w14:paraId="1DD7E857" w14:textId="78A2CE46"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2250" w:type="dxa"/>
            <w:tcMar>
              <w:left w:w="58" w:type="dxa"/>
              <w:right w:w="58" w:type="dxa"/>
            </w:tcMar>
          </w:tcPr>
          <w:p w14:paraId="7EF907C6" w14:textId="0A19EBB4"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1890" w:type="dxa"/>
            <w:tcMar>
              <w:left w:w="58" w:type="dxa"/>
              <w:right w:w="58" w:type="dxa"/>
            </w:tcMar>
          </w:tcPr>
          <w:p w14:paraId="32AC43A5" w14:textId="43EF1EB0"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2160" w:type="dxa"/>
            <w:tcMar>
              <w:left w:w="58" w:type="dxa"/>
              <w:right w:w="58" w:type="dxa"/>
            </w:tcMar>
          </w:tcPr>
          <w:p w14:paraId="15ABEF94" w14:textId="0DDBBA6C"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2367" w:type="dxa"/>
            <w:tcMar>
              <w:left w:w="58" w:type="dxa"/>
              <w:right w:w="58" w:type="dxa"/>
            </w:tcMar>
          </w:tcPr>
          <w:p w14:paraId="0012C40E" w14:textId="214DB628"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r>
      <w:tr w:rsidR="00792B80" w:rsidRPr="005162DE" w14:paraId="4F9E6B29" w14:textId="77777777" w:rsidTr="002D3FB5">
        <w:trPr>
          <w:trHeight w:val="449"/>
        </w:trPr>
        <w:tc>
          <w:tcPr>
            <w:tcW w:w="1975" w:type="dxa"/>
            <w:tcMar>
              <w:left w:w="58" w:type="dxa"/>
              <w:right w:w="58" w:type="dxa"/>
            </w:tcMar>
          </w:tcPr>
          <w:p w14:paraId="47E11E7C" w14:textId="0AD5DE2A"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2250" w:type="dxa"/>
            <w:tcMar>
              <w:left w:w="58" w:type="dxa"/>
              <w:right w:w="58" w:type="dxa"/>
            </w:tcMar>
          </w:tcPr>
          <w:p w14:paraId="225B5962" w14:textId="4B1EB745"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1890" w:type="dxa"/>
            <w:tcMar>
              <w:left w:w="58" w:type="dxa"/>
              <w:right w:w="58" w:type="dxa"/>
            </w:tcMar>
          </w:tcPr>
          <w:p w14:paraId="2580D261" w14:textId="17367AF6"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2160" w:type="dxa"/>
            <w:tcMar>
              <w:left w:w="58" w:type="dxa"/>
              <w:right w:w="58" w:type="dxa"/>
            </w:tcMar>
          </w:tcPr>
          <w:p w14:paraId="5A139B8B" w14:textId="51B0AFC2"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c>
          <w:tcPr>
            <w:tcW w:w="2367" w:type="dxa"/>
            <w:tcMar>
              <w:left w:w="58" w:type="dxa"/>
              <w:right w:w="58" w:type="dxa"/>
            </w:tcMar>
          </w:tcPr>
          <w:p w14:paraId="3D430833" w14:textId="58B5532F" w:rsidR="00792B80" w:rsidRPr="005162DE" w:rsidRDefault="00792B80" w:rsidP="00792B80">
            <w:pPr>
              <w:spacing w:before="40" w:after="40"/>
              <w:rPr>
                <w:rFonts w:ascii="Arial" w:hAnsi="Arial" w:cs="Arial"/>
                <w:sz w:val="24"/>
                <w:szCs w:val="24"/>
              </w:rPr>
            </w:pPr>
            <w:r w:rsidRPr="00032A99">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565CFEE4" w14:textId="77777777" w:rsidR="00792B80" w:rsidRPr="005F082E" w:rsidRDefault="00792B80" w:rsidP="00792B80">
      <w:pPr>
        <w:spacing w:before="120" w:after="240"/>
        <w:rPr>
          <w:rFonts w:ascii="Arial" w:hAnsi="Arial" w:cs="Arial"/>
          <w:sz w:val="24"/>
          <w:szCs w:val="24"/>
        </w:rPr>
      </w:pPr>
      <w:bookmarkStart w:id="16" w:name="_Toc58336726"/>
      <w:bookmarkEnd w:id="15"/>
      <w:r>
        <w:rPr>
          <w:rFonts w:ascii="Arial" w:hAnsi="Arial" w:cs="Arial"/>
          <w:sz w:val="24"/>
          <w:szCs w:val="24"/>
        </w:rPr>
        <w:t>N/A – The water system is not operating under a variance or exemption.</w:t>
      </w:r>
    </w:p>
    <w:p w14:paraId="60F5762F" w14:textId="199F6362" w:rsidR="00E25265" w:rsidRPr="005162DE" w:rsidRDefault="00E25265" w:rsidP="008E66E2">
      <w:pPr>
        <w:pStyle w:val="Heading3"/>
        <w:keepNext/>
        <w:rPr>
          <w:color w:val="auto"/>
        </w:rPr>
      </w:pPr>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C586EA6" w14:textId="6EF23E4F" w:rsidR="00827994" w:rsidRPr="005162DE" w:rsidRDefault="00792B80" w:rsidP="00792B80">
      <w:pPr>
        <w:spacing w:before="120" w:after="240"/>
        <w:rPr>
          <w:rFonts w:ascii="Arial" w:hAnsi="Arial" w:cs="Arial"/>
          <w:sz w:val="24"/>
          <w:szCs w:val="24"/>
        </w:rPr>
      </w:pPr>
      <w:r>
        <w:rPr>
          <w:rFonts w:ascii="Arial" w:hAnsi="Arial" w:cs="Arial"/>
          <w:sz w:val="24"/>
          <w:szCs w:val="24"/>
        </w:rPr>
        <w:t>N/A – The water system did not need to conduct Level 1 or Level 2 assessment of E. coli for an MCL violation as no violations occurred during 2021.</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4B8"/>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711"/>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825"/>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5D7A"/>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B68"/>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B8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4FF"/>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0EA7"/>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10C5"/>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514B"/>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F0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Pages>
  <Words>2790</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Marcos Moral</cp:lastModifiedBy>
  <cp:revision>15</cp:revision>
  <cp:lastPrinted>2022-01-19T18:53:00Z</cp:lastPrinted>
  <dcterms:created xsi:type="dcterms:W3CDTF">2022-01-19T19:02:00Z</dcterms:created>
  <dcterms:modified xsi:type="dcterms:W3CDTF">2023-05-12T22:41:00Z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