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2EF40E05"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69003D">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674212F" w:rsidR="00BC6327" w:rsidRPr="00412B2F" w:rsidRDefault="00396A03" w:rsidP="00396A03">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sz w:val="22"/>
              </w:rPr>
              <w:t>North Kranenburg Water System Mutual Water Company CA1503669</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FD34914" w:rsidR="00BC6327" w:rsidRPr="00412B2F" w:rsidRDefault="0069003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26</w:t>
            </w:r>
            <w:r w:rsidR="00396A03">
              <w:rPr>
                <w:sz w:val="21"/>
                <w:szCs w:val="21"/>
              </w:rPr>
              <w:t>, 2019</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19039DF" w:rsidR="00BC6327" w:rsidRPr="00412B2F" w:rsidRDefault="00396A0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well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15A8DFB" w:rsidR="00BC6327" w:rsidRPr="00412B2F" w:rsidRDefault="00396A0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17442 No. Kranenburg Ave.,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46BB933" w:rsidR="00BC6327" w:rsidRPr="00412B2F" w:rsidRDefault="00396A0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North Kranenburg well and system draws from a porous media aquifer estimated at 400,000,000 cubic acre feet. Water is distributed from wellhead to pressure tank. Vulnerability, not including contaminants in the water supply would include the above ground tank and crops irrigated. A source assessment was conducted by Osiel Jaime 661-335-7347.</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4AB8B3B" w:rsidR="00BC6327" w:rsidRPr="00412B2F" w:rsidRDefault="00396A0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As scheduled on January of each year at 17426 Kranenburg Ave. Bakersfield, CA 93314</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B312E9C" w:rsidR="00BC6327" w:rsidRPr="00412B2F" w:rsidRDefault="00396A03"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Mary DeGeare, Secretary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1AADD4B" w:rsidR="00BC6327" w:rsidRPr="00412B2F" w:rsidRDefault="00396A03" w:rsidP="00396A03">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343-5317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2F87895"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4136F360" w:rsidR="00396A03" w:rsidRPr="00F41F91" w:rsidRDefault="00396A03"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4237E77" w:rsidR="00BC6327" w:rsidRPr="00F41F91" w:rsidRDefault="00396A03"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10B79E35" w14:textId="77777777" w:rsidR="008F7660" w:rsidRDefault="005540D9" w:rsidP="00383730">
            <w:pPr>
              <w:jc w:val="center"/>
              <w:rPr>
                <w:sz w:val="18"/>
                <w:szCs w:val="18"/>
              </w:rPr>
            </w:pPr>
            <w:r w:rsidRPr="00F41F91">
              <w:rPr>
                <w:sz w:val="18"/>
                <w:szCs w:val="18"/>
              </w:rPr>
              <w:t>(In the year)</w:t>
            </w:r>
          </w:p>
          <w:p w14:paraId="0F22EBDD" w14:textId="6F3D1E35" w:rsidR="00396A03" w:rsidRPr="00F41F91" w:rsidRDefault="00396A03"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16BCD7FC" w:rsidR="008F7660" w:rsidRPr="00F41F91" w:rsidRDefault="00396A0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65B6946B" w:rsidR="008F7660" w:rsidRPr="00F41F91" w:rsidRDefault="00396A03"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868BDB7"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542DE16" w:rsidR="00396A03" w:rsidRPr="00F41F91" w:rsidRDefault="00396A03"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14ECC36" w:rsidR="005540D9" w:rsidRPr="00F41F91" w:rsidRDefault="00396A0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9023B3C" w:rsidR="00B44817" w:rsidRPr="00F41F91" w:rsidRDefault="00396A03" w:rsidP="00D057C3">
            <w:pPr>
              <w:jc w:val="center"/>
              <w:rPr>
                <w:sz w:val="18"/>
              </w:rPr>
            </w:pPr>
            <w:r>
              <w:rPr>
                <w:sz w:val="18"/>
              </w:rPr>
              <w:t>6/19/18</w:t>
            </w:r>
          </w:p>
        </w:tc>
        <w:tc>
          <w:tcPr>
            <w:tcW w:w="991" w:type="dxa"/>
            <w:gridSpan w:val="2"/>
            <w:tcBorders>
              <w:top w:val="nil"/>
            </w:tcBorders>
          </w:tcPr>
          <w:p w14:paraId="2EB76238" w14:textId="65A76BCC" w:rsidR="00B44817" w:rsidRPr="00F41F91" w:rsidRDefault="00396A03" w:rsidP="00D057C3">
            <w:pPr>
              <w:jc w:val="center"/>
              <w:rPr>
                <w:sz w:val="18"/>
              </w:rPr>
            </w:pPr>
            <w:r>
              <w:rPr>
                <w:sz w:val="18"/>
              </w:rPr>
              <w:t>5</w:t>
            </w:r>
          </w:p>
        </w:tc>
        <w:tc>
          <w:tcPr>
            <w:tcW w:w="990" w:type="dxa"/>
            <w:gridSpan w:val="2"/>
            <w:tcBorders>
              <w:top w:val="nil"/>
              <w:bottom w:val="nil"/>
            </w:tcBorders>
          </w:tcPr>
          <w:p w14:paraId="4C3FDB54" w14:textId="62DF6CD0" w:rsidR="00B44817" w:rsidRPr="00F41F91" w:rsidRDefault="00396A03" w:rsidP="00D057C3">
            <w:pPr>
              <w:jc w:val="center"/>
              <w:rPr>
                <w:sz w:val="18"/>
              </w:rPr>
            </w:pPr>
            <w:r>
              <w:rPr>
                <w:sz w:val="18"/>
              </w:rPr>
              <w:t>0.0</w:t>
            </w:r>
          </w:p>
        </w:tc>
        <w:tc>
          <w:tcPr>
            <w:tcW w:w="1080" w:type="dxa"/>
            <w:tcBorders>
              <w:top w:val="nil"/>
              <w:bottom w:val="nil"/>
            </w:tcBorders>
          </w:tcPr>
          <w:p w14:paraId="48CE0F50" w14:textId="305E637F" w:rsidR="00B44817" w:rsidRPr="00F41F91" w:rsidRDefault="00396A0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25690FCB" w:rsidR="00B44817" w:rsidRPr="00F41F91" w:rsidRDefault="00396A03"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01BC33F" w:rsidR="00B44817" w:rsidRPr="00F41F91" w:rsidRDefault="00396A03" w:rsidP="00D057C3">
            <w:pPr>
              <w:jc w:val="center"/>
              <w:rPr>
                <w:sz w:val="18"/>
              </w:rPr>
            </w:pPr>
            <w:r>
              <w:rPr>
                <w:sz w:val="18"/>
              </w:rPr>
              <w:t>6/19/18</w:t>
            </w:r>
          </w:p>
        </w:tc>
        <w:tc>
          <w:tcPr>
            <w:tcW w:w="991" w:type="dxa"/>
            <w:gridSpan w:val="2"/>
            <w:tcBorders>
              <w:bottom w:val="single" w:sz="18" w:space="0" w:color="auto"/>
            </w:tcBorders>
          </w:tcPr>
          <w:p w14:paraId="18011756" w14:textId="341E25FF" w:rsidR="00B44817" w:rsidRPr="00F41F91" w:rsidRDefault="00396A03" w:rsidP="00D057C3">
            <w:pPr>
              <w:jc w:val="center"/>
              <w:rPr>
                <w:sz w:val="18"/>
              </w:rPr>
            </w:pPr>
            <w:r>
              <w:rPr>
                <w:sz w:val="18"/>
              </w:rPr>
              <w:t>5</w:t>
            </w:r>
          </w:p>
        </w:tc>
        <w:tc>
          <w:tcPr>
            <w:tcW w:w="990" w:type="dxa"/>
            <w:gridSpan w:val="2"/>
            <w:tcBorders>
              <w:bottom w:val="single" w:sz="18" w:space="0" w:color="auto"/>
            </w:tcBorders>
          </w:tcPr>
          <w:p w14:paraId="4A8FA195" w14:textId="77777777" w:rsidR="00B44817" w:rsidRDefault="00396A03" w:rsidP="00D057C3">
            <w:pPr>
              <w:jc w:val="center"/>
              <w:rPr>
                <w:sz w:val="18"/>
              </w:rPr>
            </w:pPr>
            <w:r>
              <w:rPr>
                <w:sz w:val="18"/>
              </w:rPr>
              <w:t>2.0</w:t>
            </w:r>
          </w:p>
          <w:p w14:paraId="7CE90126" w14:textId="636C3C36" w:rsidR="00396A03" w:rsidRPr="00F41F91" w:rsidRDefault="00396A03" w:rsidP="00D057C3">
            <w:pPr>
              <w:jc w:val="center"/>
              <w:rPr>
                <w:sz w:val="18"/>
              </w:rPr>
            </w:pPr>
            <w:r>
              <w:rPr>
                <w:sz w:val="18"/>
              </w:rPr>
              <w:t>.0048 ppm</w:t>
            </w:r>
          </w:p>
        </w:tc>
        <w:tc>
          <w:tcPr>
            <w:tcW w:w="1080" w:type="dxa"/>
            <w:tcBorders>
              <w:bottom w:val="single" w:sz="18" w:space="0" w:color="auto"/>
            </w:tcBorders>
          </w:tcPr>
          <w:p w14:paraId="11DE16E1" w14:textId="59D6EDAE" w:rsidR="00B44817" w:rsidRPr="00F41F91" w:rsidRDefault="00396A0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A4ED848" w:rsidR="00B3023D" w:rsidRPr="00F41F91" w:rsidRDefault="00396A03" w:rsidP="009C6436">
            <w:pPr>
              <w:jc w:val="center"/>
              <w:rPr>
                <w:sz w:val="18"/>
              </w:rPr>
            </w:pPr>
            <w:r>
              <w:rPr>
                <w:sz w:val="18"/>
              </w:rPr>
              <w:t>12/26/18</w:t>
            </w:r>
          </w:p>
        </w:tc>
        <w:tc>
          <w:tcPr>
            <w:tcW w:w="1350" w:type="dxa"/>
            <w:tcBorders>
              <w:top w:val="nil"/>
              <w:bottom w:val="single" w:sz="4" w:space="0" w:color="auto"/>
            </w:tcBorders>
          </w:tcPr>
          <w:p w14:paraId="690B0D1C" w14:textId="5720F3BD" w:rsidR="00B3023D" w:rsidRPr="00F41F91" w:rsidRDefault="007C2A09" w:rsidP="009C6436">
            <w:pPr>
              <w:jc w:val="center"/>
              <w:rPr>
                <w:sz w:val="18"/>
              </w:rPr>
            </w:pPr>
            <w:r>
              <w:rPr>
                <w:sz w:val="18"/>
              </w:rPr>
              <w:t>21 ppm</w:t>
            </w:r>
          </w:p>
        </w:tc>
        <w:tc>
          <w:tcPr>
            <w:tcW w:w="1440" w:type="dxa"/>
            <w:tcBorders>
              <w:top w:val="nil"/>
              <w:bottom w:val="single" w:sz="4" w:space="0" w:color="auto"/>
            </w:tcBorders>
          </w:tcPr>
          <w:p w14:paraId="6802CC34" w14:textId="160ED0FB" w:rsidR="00B3023D" w:rsidRPr="00F41F91" w:rsidRDefault="007C2A09"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129BE46C" w14:textId="77777777" w:rsidR="007C2A09" w:rsidRDefault="007C2A09" w:rsidP="007C2A09">
            <w:pPr>
              <w:keepNext/>
              <w:rPr>
                <w:sz w:val="18"/>
              </w:rPr>
            </w:pPr>
            <w:r w:rsidRPr="001F3468">
              <w:rPr>
                <w:sz w:val="18"/>
              </w:rPr>
              <w:t>Hardness</w:t>
            </w:r>
            <w:r>
              <w:rPr>
                <w:sz w:val="18"/>
              </w:rPr>
              <w:t xml:space="preserve"> as CaCO3</w:t>
            </w:r>
            <w:r w:rsidRPr="001F3468">
              <w:rPr>
                <w:sz w:val="18"/>
              </w:rPr>
              <w:t xml:space="preserve"> (ppm)</w:t>
            </w:r>
          </w:p>
          <w:p w14:paraId="0196C9AC" w14:textId="77777777" w:rsidR="007C2A09" w:rsidRDefault="007C2A09" w:rsidP="007C2A09">
            <w:pPr>
              <w:keepNext/>
              <w:rPr>
                <w:sz w:val="18"/>
              </w:rPr>
            </w:pPr>
            <w:r>
              <w:rPr>
                <w:sz w:val="18"/>
              </w:rPr>
              <w:t>Calcium</w:t>
            </w:r>
          </w:p>
          <w:p w14:paraId="01FDA3CE" w14:textId="10C37513" w:rsidR="00B3023D" w:rsidRPr="00F41F91" w:rsidRDefault="007C2A09" w:rsidP="007C2A09">
            <w:pPr>
              <w:rPr>
                <w:sz w:val="18"/>
              </w:rPr>
            </w:pPr>
            <w:r>
              <w:rPr>
                <w:sz w:val="18"/>
              </w:rPr>
              <w:t>Magnesium</w:t>
            </w:r>
          </w:p>
        </w:tc>
        <w:tc>
          <w:tcPr>
            <w:tcW w:w="1008" w:type="dxa"/>
            <w:gridSpan w:val="2"/>
            <w:tcBorders>
              <w:bottom w:val="single" w:sz="18" w:space="0" w:color="auto"/>
            </w:tcBorders>
          </w:tcPr>
          <w:p w14:paraId="00DC5EDA" w14:textId="77777777" w:rsidR="00B3023D" w:rsidRDefault="007C2A09" w:rsidP="009C6436">
            <w:pPr>
              <w:jc w:val="center"/>
              <w:rPr>
                <w:sz w:val="18"/>
              </w:rPr>
            </w:pPr>
            <w:r>
              <w:rPr>
                <w:sz w:val="18"/>
              </w:rPr>
              <w:t>12/26/18</w:t>
            </w:r>
          </w:p>
          <w:p w14:paraId="37942590" w14:textId="77777777" w:rsidR="007C2A09" w:rsidRDefault="007C2A09" w:rsidP="009C6436">
            <w:pPr>
              <w:jc w:val="center"/>
              <w:rPr>
                <w:sz w:val="18"/>
              </w:rPr>
            </w:pPr>
            <w:r>
              <w:rPr>
                <w:sz w:val="18"/>
              </w:rPr>
              <w:t>12/26/18</w:t>
            </w:r>
          </w:p>
          <w:p w14:paraId="7A81C45D" w14:textId="4971D7D9" w:rsidR="007C2A09" w:rsidRPr="00F41F91" w:rsidRDefault="007C2A09" w:rsidP="009C6436">
            <w:pPr>
              <w:jc w:val="center"/>
              <w:rPr>
                <w:sz w:val="18"/>
              </w:rPr>
            </w:pPr>
            <w:r>
              <w:rPr>
                <w:sz w:val="18"/>
              </w:rPr>
              <w:t>12/26/18</w:t>
            </w:r>
          </w:p>
        </w:tc>
        <w:tc>
          <w:tcPr>
            <w:tcW w:w="1350" w:type="dxa"/>
            <w:tcBorders>
              <w:bottom w:val="single" w:sz="18" w:space="0" w:color="auto"/>
            </w:tcBorders>
          </w:tcPr>
          <w:p w14:paraId="2F72696A" w14:textId="77777777" w:rsidR="00B3023D" w:rsidRDefault="007C2A09" w:rsidP="009C6436">
            <w:pPr>
              <w:jc w:val="center"/>
              <w:rPr>
                <w:sz w:val="18"/>
              </w:rPr>
            </w:pPr>
            <w:r>
              <w:rPr>
                <w:sz w:val="18"/>
              </w:rPr>
              <w:t>61 ppm</w:t>
            </w:r>
          </w:p>
          <w:p w14:paraId="78E7490B" w14:textId="77777777" w:rsidR="007C2A09" w:rsidRDefault="007C2A09" w:rsidP="009C6436">
            <w:pPr>
              <w:jc w:val="center"/>
              <w:rPr>
                <w:sz w:val="18"/>
              </w:rPr>
            </w:pPr>
            <w:r>
              <w:rPr>
                <w:sz w:val="18"/>
              </w:rPr>
              <w:t>29 ppm</w:t>
            </w:r>
          </w:p>
          <w:p w14:paraId="5F571C45" w14:textId="5BEA328A" w:rsidR="007C2A09" w:rsidRPr="00F41F91" w:rsidRDefault="007C2A09" w:rsidP="009C6436">
            <w:pPr>
              <w:jc w:val="center"/>
              <w:rPr>
                <w:sz w:val="18"/>
              </w:rPr>
            </w:pPr>
            <w:r>
              <w:rPr>
                <w:sz w:val="18"/>
              </w:rPr>
              <w:t>2.3 ppm</w:t>
            </w:r>
          </w:p>
        </w:tc>
        <w:tc>
          <w:tcPr>
            <w:tcW w:w="1440" w:type="dxa"/>
            <w:tcBorders>
              <w:bottom w:val="single" w:sz="18" w:space="0" w:color="auto"/>
            </w:tcBorders>
          </w:tcPr>
          <w:p w14:paraId="442E4EA6" w14:textId="77777777" w:rsidR="00B3023D" w:rsidRDefault="007C2A09" w:rsidP="009C6436">
            <w:pPr>
              <w:jc w:val="center"/>
              <w:rPr>
                <w:sz w:val="18"/>
              </w:rPr>
            </w:pPr>
            <w:r>
              <w:rPr>
                <w:sz w:val="18"/>
              </w:rPr>
              <w:t>N/A</w:t>
            </w:r>
          </w:p>
          <w:p w14:paraId="42A1C89A" w14:textId="77777777" w:rsidR="007C2A09" w:rsidRDefault="007C2A09" w:rsidP="009C6436">
            <w:pPr>
              <w:jc w:val="center"/>
              <w:rPr>
                <w:sz w:val="18"/>
              </w:rPr>
            </w:pPr>
            <w:r>
              <w:rPr>
                <w:sz w:val="18"/>
              </w:rPr>
              <w:t>N/A</w:t>
            </w:r>
          </w:p>
          <w:p w14:paraId="2BE476FB" w14:textId="53998812" w:rsidR="007C2A09" w:rsidRPr="00F41F91" w:rsidRDefault="007C2A09" w:rsidP="009C6436">
            <w:pPr>
              <w:jc w:val="center"/>
              <w:rPr>
                <w:sz w:val="18"/>
              </w:rPr>
            </w:pPr>
            <w:r>
              <w:rPr>
                <w:sz w:val="18"/>
              </w:rPr>
              <w:t>N/A</w:t>
            </w:r>
          </w:p>
        </w:tc>
        <w:tc>
          <w:tcPr>
            <w:tcW w:w="900" w:type="dxa"/>
            <w:tcBorders>
              <w:bottom w:val="single" w:sz="18" w:space="0" w:color="auto"/>
            </w:tcBorders>
          </w:tcPr>
          <w:p w14:paraId="7A4FDB6B" w14:textId="77777777" w:rsidR="00B3023D" w:rsidRDefault="00365C7B" w:rsidP="009C6436">
            <w:pPr>
              <w:jc w:val="center"/>
              <w:rPr>
                <w:sz w:val="18"/>
              </w:rPr>
            </w:pPr>
            <w:r w:rsidRPr="00F41F91">
              <w:rPr>
                <w:sz w:val="18"/>
              </w:rPr>
              <w:t>N</w:t>
            </w:r>
            <w:r w:rsidR="00B3023D" w:rsidRPr="00F41F91">
              <w:rPr>
                <w:sz w:val="18"/>
              </w:rPr>
              <w:t>one</w:t>
            </w:r>
          </w:p>
          <w:p w14:paraId="230F6836" w14:textId="77777777" w:rsidR="007C2A09" w:rsidRDefault="007C2A09" w:rsidP="009C6436">
            <w:pPr>
              <w:jc w:val="center"/>
              <w:rPr>
                <w:sz w:val="18"/>
              </w:rPr>
            </w:pPr>
            <w:r w:rsidRPr="00F41F91">
              <w:rPr>
                <w:sz w:val="18"/>
              </w:rPr>
              <w:t>None</w:t>
            </w:r>
          </w:p>
          <w:p w14:paraId="76B554F2" w14:textId="211D9C9C" w:rsidR="007C2A09" w:rsidRPr="00F41F91" w:rsidRDefault="007C2A09" w:rsidP="009C6436">
            <w:pPr>
              <w:jc w:val="center"/>
              <w:rPr>
                <w:sz w:val="18"/>
              </w:rPr>
            </w:pPr>
            <w:r w:rsidRPr="00F41F91">
              <w:rPr>
                <w:sz w:val="18"/>
              </w:rPr>
              <w:t>None</w:t>
            </w:r>
          </w:p>
        </w:tc>
        <w:tc>
          <w:tcPr>
            <w:tcW w:w="1080" w:type="dxa"/>
            <w:tcBorders>
              <w:bottom w:val="single" w:sz="18" w:space="0" w:color="auto"/>
            </w:tcBorders>
          </w:tcPr>
          <w:p w14:paraId="080DE0F8" w14:textId="77777777" w:rsidR="00B3023D" w:rsidRDefault="00365C7B" w:rsidP="009C6436">
            <w:pPr>
              <w:jc w:val="center"/>
              <w:rPr>
                <w:sz w:val="18"/>
              </w:rPr>
            </w:pPr>
            <w:r w:rsidRPr="00F41F91">
              <w:rPr>
                <w:sz w:val="18"/>
              </w:rPr>
              <w:t>N</w:t>
            </w:r>
            <w:r w:rsidR="00B3023D" w:rsidRPr="00F41F91">
              <w:rPr>
                <w:sz w:val="18"/>
              </w:rPr>
              <w:t>one</w:t>
            </w:r>
          </w:p>
          <w:p w14:paraId="164FA4D3" w14:textId="77777777" w:rsidR="007C2A09" w:rsidRDefault="007C2A09" w:rsidP="009C6436">
            <w:pPr>
              <w:jc w:val="center"/>
              <w:rPr>
                <w:sz w:val="18"/>
              </w:rPr>
            </w:pPr>
            <w:r w:rsidRPr="00F41F91">
              <w:rPr>
                <w:sz w:val="18"/>
              </w:rPr>
              <w:t>None</w:t>
            </w:r>
          </w:p>
          <w:p w14:paraId="2588B8FC" w14:textId="0872E528" w:rsidR="007C2A09" w:rsidRPr="00F41F91" w:rsidRDefault="007C2A09" w:rsidP="009C643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52886F9C" w:rsidR="00BC6327" w:rsidRPr="00F41F91" w:rsidRDefault="007C2A09" w:rsidP="00D057C3">
            <w:pPr>
              <w:ind w:left="180"/>
              <w:rPr>
                <w:sz w:val="18"/>
              </w:rPr>
            </w:pPr>
            <w:r>
              <w:rPr>
                <w:sz w:val="18"/>
              </w:rPr>
              <w:t>Barium</w:t>
            </w:r>
          </w:p>
        </w:tc>
        <w:tc>
          <w:tcPr>
            <w:tcW w:w="990" w:type="dxa"/>
            <w:tcBorders>
              <w:top w:val="nil"/>
            </w:tcBorders>
          </w:tcPr>
          <w:p w14:paraId="5D776A03" w14:textId="572E86D7" w:rsidR="00BC6327" w:rsidRPr="00F41F91" w:rsidRDefault="007C2A09" w:rsidP="00D057C3">
            <w:pPr>
              <w:jc w:val="center"/>
              <w:rPr>
                <w:sz w:val="18"/>
              </w:rPr>
            </w:pPr>
            <w:r>
              <w:rPr>
                <w:sz w:val="18"/>
              </w:rPr>
              <w:t>12/26/18</w:t>
            </w:r>
          </w:p>
        </w:tc>
        <w:tc>
          <w:tcPr>
            <w:tcW w:w="1350" w:type="dxa"/>
            <w:tcBorders>
              <w:top w:val="nil"/>
            </w:tcBorders>
          </w:tcPr>
          <w:p w14:paraId="492AEBB3" w14:textId="2EF7D7C6" w:rsidR="00BC6327" w:rsidRPr="00F41F91" w:rsidRDefault="007C2A09" w:rsidP="00D057C3">
            <w:pPr>
              <w:jc w:val="center"/>
              <w:rPr>
                <w:sz w:val="18"/>
              </w:rPr>
            </w:pPr>
            <w:r>
              <w:rPr>
                <w:sz w:val="18"/>
              </w:rPr>
              <w:t>31 ppm</w:t>
            </w:r>
          </w:p>
        </w:tc>
        <w:tc>
          <w:tcPr>
            <w:tcW w:w="1440" w:type="dxa"/>
            <w:tcBorders>
              <w:top w:val="nil"/>
            </w:tcBorders>
          </w:tcPr>
          <w:p w14:paraId="0EA1207A" w14:textId="751D8F75" w:rsidR="00BC6327" w:rsidRPr="00F41F91" w:rsidRDefault="007C2A09" w:rsidP="00D057C3">
            <w:pPr>
              <w:jc w:val="center"/>
              <w:rPr>
                <w:sz w:val="18"/>
              </w:rPr>
            </w:pPr>
            <w:r>
              <w:rPr>
                <w:sz w:val="18"/>
              </w:rPr>
              <w:t>N/A</w:t>
            </w:r>
          </w:p>
        </w:tc>
        <w:tc>
          <w:tcPr>
            <w:tcW w:w="900" w:type="dxa"/>
            <w:tcBorders>
              <w:top w:val="nil"/>
            </w:tcBorders>
          </w:tcPr>
          <w:p w14:paraId="566791C1" w14:textId="0A15751E" w:rsidR="00BC6327" w:rsidRPr="00F41F91" w:rsidRDefault="007C2A09" w:rsidP="00D057C3">
            <w:pPr>
              <w:jc w:val="center"/>
              <w:rPr>
                <w:sz w:val="18"/>
              </w:rPr>
            </w:pPr>
            <w:r>
              <w:rPr>
                <w:sz w:val="18"/>
              </w:rPr>
              <w:t>1</w:t>
            </w:r>
          </w:p>
        </w:tc>
        <w:tc>
          <w:tcPr>
            <w:tcW w:w="1080" w:type="dxa"/>
            <w:tcBorders>
              <w:top w:val="nil"/>
            </w:tcBorders>
          </w:tcPr>
          <w:p w14:paraId="5E4F841C" w14:textId="743AABE1" w:rsidR="00BC6327" w:rsidRPr="00F41F91" w:rsidRDefault="007C2A09" w:rsidP="00D057C3">
            <w:pPr>
              <w:jc w:val="center"/>
              <w:rPr>
                <w:sz w:val="18"/>
              </w:rPr>
            </w:pPr>
            <w:r>
              <w:rPr>
                <w:sz w:val="18"/>
              </w:rPr>
              <w:t>2</w:t>
            </w:r>
          </w:p>
        </w:tc>
        <w:tc>
          <w:tcPr>
            <w:tcW w:w="2808" w:type="dxa"/>
            <w:tcBorders>
              <w:top w:val="nil"/>
              <w:right w:val="single" w:sz="6" w:space="0" w:color="auto"/>
            </w:tcBorders>
          </w:tcPr>
          <w:p w14:paraId="2B8C0EB3" w14:textId="05CC27F2" w:rsidR="00BC6327" w:rsidRPr="0069003D" w:rsidRDefault="007C2A09" w:rsidP="00D057C3">
            <w:pPr>
              <w:rPr>
                <w:sz w:val="18"/>
                <w:szCs w:val="18"/>
              </w:rPr>
            </w:pPr>
            <w:r w:rsidRPr="0069003D">
              <w:rPr>
                <w:sz w:val="18"/>
                <w:szCs w:val="18"/>
              </w:rPr>
              <w:t>Some people who drink water containing barium in excess of the MCL over many years may experience an increase in blood pressure.</w:t>
            </w:r>
          </w:p>
        </w:tc>
      </w:tr>
      <w:tr w:rsidR="007C2A09" w:rsidRPr="001F3468" w14:paraId="3A56B926" w14:textId="77777777" w:rsidTr="002F1DD3">
        <w:trPr>
          <w:trHeight w:val="432"/>
          <w:jc w:val="center"/>
        </w:trPr>
        <w:tc>
          <w:tcPr>
            <w:tcW w:w="2268" w:type="dxa"/>
            <w:gridSpan w:val="2"/>
            <w:tcBorders>
              <w:top w:val="nil"/>
              <w:left w:val="single" w:sz="6" w:space="0" w:color="auto"/>
            </w:tcBorders>
          </w:tcPr>
          <w:p w14:paraId="570594BC" w14:textId="7CD67F35" w:rsidR="007C2A09" w:rsidRDefault="007C2A09" w:rsidP="00D057C3">
            <w:pPr>
              <w:ind w:left="180"/>
              <w:rPr>
                <w:sz w:val="18"/>
              </w:rPr>
            </w:pPr>
            <w:r>
              <w:rPr>
                <w:sz w:val="18"/>
              </w:rPr>
              <w:t>Nitrate as N</w:t>
            </w:r>
          </w:p>
        </w:tc>
        <w:tc>
          <w:tcPr>
            <w:tcW w:w="990" w:type="dxa"/>
            <w:tcBorders>
              <w:top w:val="nil"/>
            </w:tcBorders>
          </w:tcPr>
          <w:p w14:paraId="0C27E304" w14:textId="4F08D87E" w:rsidR="007C2A09" w:rsidRDefault="0069003D" w:rsidP="00D057C3">
            <w:pPr>
              <w:jc w:val="center"/>
              <w:rPr>
                <w:sz w:val="18"/>
              </w:rPr>
            </w:pPr>
            <w:r>
              <w:rPr>
                <w:sz w:val="18"/>
              </w:rPr>
              <w:t>10/15</w:t>
            </w:r>
            <w:r w:rsidR="007C2A09">
              <w:rPr>
                <w:sz w:val="18"/>
              </w:rPr>
              <w:t>/1</w:t>
            </w:r>
            <w:r>
              <w:rPr>
                <w:sz w:val="18"/>
              </w:rPr>
              <w:t>9</w:t>
            </w:r>
          </w:p>
        </w:tc>
        <w:tc>
          <w:tcPr>
            <w:tcW w:w="1350" w:type="dxa"/>
            <w:tcBorders>
              <w:top w:val="nil"/>
            </w:tcBorders>
          </w:tcPr>
          <w:p w14:paraId="713CC773" w14:textId="6B4F4341" w:rsidR="007C2A09" w:rsidRDefault="007C2A09" w:rsidP="0069003D">
            <w:pPr>
              <w:jc w:val="center"/>
              <w:rPr>
                <w:sz w:val="18"/>
              </w:rPr>
            </w:pPr>
            <w:r>
              <w:rPr>
                <w:sz w:val="18"/>
              </w:rPr>
              <w:t>3.</w:t>
            </w:r>
            <w:r w:rsidR="0069003D">
              <w:rPr>
                <w:sz w:val="18"/>
              </w:rPr>
              <w:t>8</w:t>
            </w:r>
            <w:r>
              <w:rPr>
                <w:sz w:val="18"/>
              </w:rPr>
              <w:t xml:space="preserve"> ppm</w:t>
            </w:r>
          </w:p>
        </w:tc>
        <w:tc>
          <w:tcPr>
            <w:tcW w:w="1440" w:type="dxa"/>
            <w:tcBorders>
              <w:top w:val="nil"/>
            </w:tcBorders>
          </w:tcPr>
          <w:p w14:paraId="43BC6D0E" w14:textId="3B840298" w:rsidR="007C2A09" w:rsidRDefault="007C2A09" w:rsidP="00D057C3">
            <w:pPr>
              <w:jc w:val="center"/>
              <w:rPr>
                <w:sz w:val="18"/>
              </w:rPr>
            </w:pPr>
            <w:r>
              <w:rPr>
                <w:sz w:val="18"/>
              </w:rPr>
              <w:t>N/A</w:t>
            </w:r>
          </w:p>
        </w:tc>
        <w:tc>
          <w:tcPr>
            <w:tcW w:w="900" w:type="dxa"/>
            <w:tcBorders>
              <w:top w:val="nil"/>
            </w:tcBorders>
          </w:tcPr>
          <w:p w14:paraId="2EB089AE" w14:textId="52645CA1" w:rsidR="007C2A09" w:rsidRDefault="007C2A09" w:rsidP="00D057C3">
            <w:pPr>
              <w:jc w:val="center"/>
              <w:rPr>
                <w:sz w:val="18"/>
              </w:rPr>
            </w:pPr>
            <w:r>
              <w:rPr>
                <w:sz w:val="18"/>
              </w:rPr>
              <w:t>45</w:t>
            </w:r>
          </w:p>
        </w:tc>
        <w:tc>
          <w:tcPr>
            <w:tcW w:w="1080" w:type="dxa"/>
            <w:tcBorders>
              <w:top w:val="nil"/>
            </w:tcBorders>
          </w:tcPr>
          <w:p w14:paraId="459E98A6" w14:textId="6F427D67" w:rsidR="007C2A09" w:rsidRDefault="007C2A09" w:rsidP="00D057C3">
            <w:pPr>
              <w:jc w:val="center"/>
              <w:rPr>
                <w:sz w:val="18"/>
              </w:rPr>
            </w:pPr>
            <w:r>
              <w:rPr>
                <w:sz w:val="18"/>
              </w:rPr>
              <w:t>45</w:t>
            </w:r>
          </w:p>
        </w:tc>
        <w:tc>
          <w:tcPr>
            <w:tcW w:w="2808" w:type="dxa"/>
            <w:tcBorders>
              <w:top w:val="nil"/>
              <w:right w:val="single" w:sz="6" w:space="0" w:color="auto"/>
            </w:tcBorders>
          </w:tcPr>
          <w:p w14:paraId="7052FA3C" w14:textId="4B40CDED" w:rsidR="007C2A09" w:rsidRPr="0069003D" w:rsidRDefault="007C2A09" w:rsidP="00D057C3">
            <w:pPr>
              <w:rPr>
                <w:sz w:val="18"/>
                <w:szCs w:val="18"/>
              </w:rPr>
            </w:pPr>
            <w:r w:rsidRPr="0069003D">
              <w:rPr>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69003D" w:rsidRPr="001F3468" w14:paraId="42510DD7" w14:textId="77777777" w:rsidTr="002F1DD3">
        <w:trPr>
          <w:trHeight w:val="432"/>
          <w:jc w:val="center"/>
        </w:trPr>
        <w:tc>
          <w:tcPr>
            <w:tcW w:w="2268" w:type="dxa"/>
            <w:gridSpan w:val="2"/>
            <w:tcBorders>
              <w:top w:val="nil"/>
              <w:left w:val="single" w:sz="6" w:space="0" w:color="auto"/>
            </w:tcBorders>
          </w:tcPr>
          <w:p w14:paraId="36AF0CDD" w14:textId="42983D64" w:rsidR="0069003D" w:rsidRDefault="0069003D" w:rsidP="00D057C3">
            <w:pPr>
              <w:ind w:left="180"/>
              <w:rPr>
                <w:sz w:val="18"/>
              </w:rPr>
            </w:pPr>
            <w:r>
              <w:rPr>
                <w:sz w:val="18"/>
              </w:rPr>
              <w:t>1,2,3-Trichloropropane</w:t>
            </w:r>
          </w:p>
        </w:tc>
        <w:tc>
          <w:tcPr>
            <w:tcW w:w="990" w:type="dxa"/>
            <w:tcBorders>
              <w:top w:val="nil"/>
            </w:tcBorders>
          </w:tcPr>
          <w:p w14:paraId="748D47E8" w14:textId="211F5A67" w:rsidR="0069003D" w:rsidRDefault="0069003D" w:rsidP="00D057C3">
            <w:pPr>
              <w:jc w:val="center"/>
              <w:rPr>
                <w:sz w:val="18"/>
              </w:rPr>
            </w:pPr>
            <w:r>
              <w:rPr>
                <w:sz w:val="18"/>
              </w:rPr>
              <w:t>10/15/19</w:t>
            </w:r>
          </w:p>
        </w:tc>
        <w:tc>
          <w:tcPr>
            <w:tcW w:w="1350" w:type="dxa"/>
            <w:tcBorders>
              <w:top w:val="nil"/>
            </w:tcBorders>
          </w:tcPr>
          <w:p w14:paraId="6B0C9660" w14:textId="3EA8D65D" w:rsidR="0069003D" w:rsidRDefault="0069003D" w:rsidP="0069003D">
            <w:pPr>
              <w:jc w:val="center"/>
              <w:rPr>
                <w:sz w:val="18"/>
              </w:rPr>
            </w:pPr>
            <w:r>
              <w:rPr>
                <w:sz w:val="18"/>
              </w:rPr>
              <w:t>0.0072 ug/L</w:t>
            </w:r>
          </w:p>
        </w:tc>
        <w:tc>
          <w:tcPr>
            <w:tcW w:w="1440" w:type="dxa"/>
            <w:tcBorders>
              <w:top w:val="nil"/>
            </w:tcBorders>
          </w:tcPr>
          <w:p w14:paraId="5CF1CDE5" w14:textId="1B572334" w:rsidR="0069003D" w:rsidRDefault="0069003D" w:rsidP="00D057C3">
            <w:pPr>
              <w:jc w:val="center"/>
              <w:rPr>
                <w:sz w:val="18"/>
              </w:rPr>
            </w:pPr>
            <w:r>
              <w:rPr>
                <w:sz w:val="18"/>
              </w:rPr>
              <w:t>N/A</w:t>
            </w:r>
          </w:p>
          <w:p w14:paraId="4A1CE86B" w14:textId="3CF8440B" w:rsidR="0069003D" w:rsidRPr="0069003D" w:rsidRDefault="0069003D" w:rsidP="0069003D">
            <w:pPr>
              <w:jc w:val="center"/>
              <w:rPr>
                <w:sz w:val="18"/>
              </w:rPr>
            </w:pPr>
          </w:p>
        </w:tc>
        <w:tc>
          <w:tcPr>
            <w:tcW w:w="900" w:type="dxa"/>
            <w:tcBorders>
              <w:top w:val="nil"/>
            </w:tcBorders>
          </w:tcPr>
          <w:p w14:paraId="4374AF1F" w14:textId="78EE471F" w:rsidR="0069003D" w:rsidRDefault="0069003D" w:rsidP="00D057C3">
            <w:pPr>
              <w:jc w:val="center"/>
              <w:rPr>
                <w:sz w:val="18"/>
              </w:rPr>
            </w:pPr>
            <w:r>
              <w:rPr>
                <w:sz w:val="18"/>
              </w:rPr>
              <w:t>0.0050</w:t>
            </w:r>
          </w:p>
        </w:tc>
        <w:tc>
          <w:tcPr>
            <w:tcW w:w="1080" w:type="dxa"/>
            <w:tcBorders>
              <w:top w:val="nil"/>
            </w:tcBorders>
          </w:tcPr>
          <w:p w14:paraId="6E6F056F" w14:textId="682B6A2B" w:rsidR="0069003D" w:rsidRDefault="0069003D" w:rsidP="00D057C3">
            <w:pPr>
              <w:jc w:val="center"/>
              <w:rPr>
                <w:sz w:val="18"/>
              </w:rPr>
            </w:pPr>
            <w:r>
              <w:rPr>
                <w:sz w:val="18"/>
              </w:rPr>
              <w:t>None</w:t>
            </w:r>
          </w:p>
        </w:tc>
        <w:tc>
          <w:tcPr>
            <w:tcW w:w="2808" w:type="dxa"/>
            <w:tcBorders>
              <w:top w:val="nil"/>
              <w:right w:val="single" w:sz="6" w:space="0" w:color="auto"/>
            </w:tcBorders>
          </w:tcPr>
          <w:p w14:paraId="343076F9" w14:textId="0B1303EA" w:rsidR="0069003D" w:rsidRPr="0069003D" w:rsidRDefault="0069003D" w:rsidP="00D057C3">
            <w:pPr>
              <w:rPr>
                <w:sz w:val="18"/>
                <w:szCs w:val="18"/>
              </w:rPr>
            </w:pPr>
            <w:r w:rsidRPr="00944C52">
              <w:t>TCP is a contaminant of interest to the government, private sector and other parties. It is a persistent pollutant in groundwater and has been classified as “likely to be carcinogenic to humans” by the EPA.</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1D7B6DCA" w:rsidR="00BC6327" w:rsidRPr="00F41F91" w:rsidRDefault="007C2A09" w:rsidP="00D057C3">
            <w:pPr>
              <w:ind w:left="187"/>
              <w:rPr>
                <w:sz w:val="18"/>
              </w:rPr>
            </w:pPr>
            <w:r>
              <w:rPr>
                <w:sz w:val="18"/>
              </w:rPr>
              <w:t>Chloride (ppm)</w:t>
            </w:r>
          </w:p>
        </w:tc>
        <w:tc>
          <w:tcPr>
            <w:tcW w:w="990" w:type="dxa"/>
          </w:tcPr>
          <w:p w14:paraId="7B53609D" w14:textId="5CCBFFB2" w:rsidR="00BC6327" w:rsidRPr="00F41F91" w:rsidRDefault="007C2A09" w:rsidP="00D057C3">
            <w:pPr>
              <w:jc w:val="center"/>
              <w:rPr>
                <w:sz w:val="18"/>
              </w:rPr>
            </w:pPr>
            <w:r>
              <w:rPr>
                <w:sz w:val="18"/>
              </w:rPr>
              <w:t>12/26/18</w:t>
            </w:r>
          </w:p>
        </w:tc>
        <w:tc>
          <w:tcPr>
            <w:tcW w:w="1350" w:type="dxa"/>
          </w:tcPr>
          <w:p w14:paraId="48AE5CBF" w14:textId="191D4215" w:rsidR="00BC6327" w:rsidRPr="00F41F91" w:rsidRDefault="007C2A09" w:rsidP="00D057C3">
            <w:pPr>
              <w:jc w:val="center"/>
              <w:rPr>
                <w:sz w:val="18"/>
              </w:rPr>
            </w:pPr>
            <w:r>
              <w:rPr>
                <w:sz w:val="18"/>
              </w:rPr>
              <w:t>27 ppm</w:t>
            </w:r>
          </w:p>
        </w:tc>
        <w:tc>
          <w:tcPr>
            <w:tcW w:w="1440" w:type="dxa"/>
          </w:tcPr>
          <w:p w14:paraId="6428F303" w14:textId="3B0A02DD" w:rsidR="00BC6327" w:rsidRPr="00F41F91" w:rsidRDefault="00D4745C" w:rsidP="00D057C3">
            <w:pPr>
              <w:jc w:val="center"/>
              <w:rPr>
                <w:sz w:val="18"/>
              </w:rPr>
            </w:pPr>
            <w:r>
              <w:rPr>
                <w:sz w:val="18"/>
              </w:rPr>
              <w:t>N/A</w:t>
            </w:r>
          </w:p>
        </w:tc>
        <w:tc>
          <w:tcPr>
            <w:tcW w:w="900" w:type="dxa"/>
          </w:tcPr>
          <w:p w14:paraId="11FF9BF3" w14:textId="0A1CB5B9" w:rsidR="00BC6327" w:rsidRPr="00F41F91" w:rsidRDefault="00D4745C" w:rsidP="00D057C3">
            <w:pPr>
              <w:jc w:val="center"/>
              <w:rPr>
                <w:sz w:val="18"/>
              </w:rPr>
            </w:pPr>
            <w:r>
              <w:rPr>
                <w:sz w:val="18"/>
              </w:rPr>
              <w:t>600</w:t>
            </w:r>
          </w:p>
        </w:tc>
        <w:tc>
          <w:tcPr>
            <w:tcW w:w="1080" w:type="dxa"/>
          </w:tcPr>
          <w:p w14:paraId="160E754C" w14:textId="0A744118" w:rsidR="00BC6327" w:rsidRPr="00F41F91" w:rsidRDefault="00D4745C" w:rsidP="00D057C3">
            <w:pPr>
              <w:jc w:val="center"/>
              <w:rPr>
                <w:sz w:val="18"/>
              </w:rPr>
            </w:pPr>
            <w:r>
              <w:rPr>
                <w:sz w:val="18"/>
              </w:rPr>
              <w:t>ND</w:t>
            </w:r>
          </w:p>
        </w:tc>
        <w:tc>
          <w:tcPr>
            <w:tcW w:w="2808" w:type="dxa"/>
            <w:tcBorders>
              <w:right w:val="single" w:sz="6" w:space="0" w:color="auto"/>
            </w:tcBorders>
          </w:tcPr>
          <w:p w14:paraId="43B6AB0B" w14:textId="7F94FC88" w:rsidR="00BC6327" w:rsidRPr="00F41F91" w:rsidRDefault="00D4745C" w:rsidP="00D057C3">
            <w:pPr>
              <w:rPr>
                <w:sz w:val="18"/>
              </w:rPr>
            </w:pPr>
            <w:r>
              <w:rPr>
                <w:sz w:val="18"/>
              </w:rPr>
              <w:t>Runoff/leaching from natural deposits; seawater influence</w:t>
            </w:r>
          </w:p>
        </w:tc>
      </w:tr>
      <w:tr w:rsidR="007C2A09" w:rsidRPr="001F3468" w14:paraId="23A1EF05" w14:textId="77777777" w:rsidTr="002F1DD3">
        <w:trPr>
          <w:trHeight w:val="432"/>
          <w:jc w:val="center"/>
        </w:trPr>
        <w:tc>
          <w:tcPr>
            <w:tcW w:w="2268" w:type="dxa"/>
            <w:gridSpan w:val="2"/>
            <w:tcBorders>
              <w:left w:val="single" w:sz="6" w:space="0" w:color="auto"/>
            </w:tcBorders>
          </w:tcPr>
          <w:p w14:paraId="0D4DB27A" w14:textId="1A19F5F1" w:rsidR="007C2A09" w:rsidRPr="00F41F91" w:rsidRDefault="00D4745C" w:rsidP="00D057C3">
            <w:pPr>
              <w:ind w:left="187"/>
              <w:rPr>
                <w:sz w:val="18"/>
              </w:rPr>
            </w:pPr>
            <w:r>
              <w:rPr>
                <w:sz w:val="18"/>
              </w:rPr>
              <w:t>Sulfate (ppm)</w:t>
            </w:r>
          </w:p>
        </w:tc>
        <w:tc>
          <w:tcPr>
            <w:tcW w:w="990" w:type="dxa"/>
          </w:tcPr>
          <w:p w14:paraId="78C4A51E" w14:textId="5326D19B" w:rsidR="007C2A09" w:rsidRPr="00F41F91" w:rsidRDefault="00D4745C" w:rsidP="00D057C3">
            <w:pPr>
              <w:jc w:val="center"/>
              <w:rPr>
                <w:sz w:val="18"/>
              </w:rPr>
            </w:pPr>
            <w:r>
              <w:rPr>
                <w:sz w:val="18"/>
              </w:rPr>
              <w:t>12/26/18</w:t>
            </w:r>
          </w:p>
        </w:tc>
        <w:tc>
          <w:tcPr>
            <w:tcW w:w="1350" w:type="dxa"/>
          </w:tcPr>
          <w:p w14:paraId="2AFF75F2" w14:textId="70FCEB33" w:rsidR="007C2A09" w:rsidRPr="00F41F91" w:rsidRDefault="00D4745C" w:rsidP="00D057C3">
            <w:pPr>
              <w:jc w:val="center"/>
              <w:rPr>
                <w:sz w:val="18"/>
              </w:rPr>
            </w:pPr>
            <w:r>
              <w:rPr>
                <w:sz w:val="18"/>
              </w:rPr>
              <w:t>24 ppm</w:t>
            </w:r>
          </w:p>
        </w:tc>
        <w:tc>
          <w:tcPr>
            <w:tcW w:w="1440" w:type="dxa"/>
          </w:tcPr>
          <w:p w14:paraId="255C9D1B" w14:textId="08F8B25F" w:rsidR="007C2A09" w:rsidRPr="00F41F91" w:rsidRDefault="00D4745C" w:rsidP="00D057C3">
            <w:pPr>
              <w:jc w:val="center"/>
              <w:rPr>
                <w:sz w:val="18"/>
              </w:rPr>
            </w:pPr>
            <w:r>
              <w:rPr>
                <w:sz w:val="18"/>
              </w:rPr>
              <w:t>N/A</w:t>
            </w:r>
          </w:p>
        </w:tc>
        <w:tc>
          <w:tcPr>
            <w:tcW w:w="900" w:type="dxa"/>
          </w:tcPr>
          <w:p w14:paraId="6D03E6A1" w14:textId="6086F9F4" w:rsidR="007C2A09" w:rsidRPr="00F41F91" w:rsidRDefault="00D4745C" w:rsidP="00D057C3">
            <w:pPr>
              <w:jc w:val="center"/>
              <w:rPr>
                <w:sz w:val="18"/>
              </w:rPr>
            </w:pPr>
            <w:r>
              <w:rPr>
                <w:sz w:val="18"/>
              </w:rPr>
              <w:t>600</w:t>
            </w:r>
          </w:p>
        </w:tc>
        <w:tc>
          <w:tcPr>
            <w:tcW w:w="1080" w:type="dxa"/>
          </w:tcPr>
          <w:p w14:paraId="49B395D0" w14:textId="43E4DB9F" w:rsidR="007C2A09" w:rsidRPr="00F41F91" w:rsidRDefault="00D4745C" w:rsidP="00D057C3">
            <w:pPr>
              <w:jc w:val="center"/>
              <w:rPr>
                <w:sz w:val="18"/>
              </w:rPr>
            </w:pPr>
            <w:r>
              <w:rPr>
                <w:sz w:val="18"/>
              </w:rPr>
              <w:t>ND</w:t>
            </w:r>
          </w:p>
        </w:tc>
        <w:tc>
          <w:tcPr>
            <w:tcW w:w="2808" w:type="dxa"/>
            <w:tcBorders>
              <w:right w:val="single" w:sz="6" w:space="0" w:color="auto"/>
            </w:tcBorders>
          </w:tcPr>
          <w:p w14:paraId="098738FD" w14:textId="4C38D615" w:rsidR="007C2A09" w:rsidRPr="00F41F91" w:rsidRDefault="00D4745C" w:rsidP="00D057C3">
            <w:pPr>
              <w:rPr>
                <w:sz w:val="18"/>
              </w:rPr>
            </w:pPr>
            <w:r>
              <w:rPr>
                <w:sz w:val="18"/>
              </w:rPr>
              <w:t>Runoff/leaching from natural deposits; industrial wastes</w:t>
            </w:r>
          </w:p>
        </w:tc>
      </w:tr>
      <w:tr w:rsidR="007C2A09" w:rsidRPr="001F3468" w14:paraId="500710B9" w14:textId="77777777" w:rsidTr="002F1DD3">
        <w:trPr>
          <w:trHeight w:val="432"/>
          <w:jc w:val="center"/>
        </w:trPr>
        <w:tc>
          <w:tcPr>
            <w:tcW w:w="2268" w:type="dxa"/>
            <w:gridSpan w:val="2"/>
            <w:tcBorders>
              <w:left w:val="single" w:sz="6" w:space="0" w:color="auto"/>
            </w:tcBorders>
          </w:tcPr>
          <w:p w14:paraId="338452DF" w14:textId="28750556" w:rsidR="007C2A09" w:rsidRPr="00F41F91" w:rsidRDefault="00D4745C" w:rsidP="00D057C3">
            <w:pPr>
              <w:ind w:left="187"/>
              <w:rPr>
                <w:sz w:val="18"/>
              </w:rPr>
            </w:pPr>
            <w:r>
              <w:rPr>
                <w:sz w:val="18"/>
              </w:rPr>
              <w:t>Specific Conductance (EC) (uS/cm)</w:t>
            </w:r>
          </w:p>
        </w:tc>
        <w:tc>
          <w:tcPr>
            <w:tcW w:w="990" w:type="dxa"/>
          </w:tcPr>
          <w:p w14:paraId="766C099A" w14:textId="1344172E" w:rsidR="007C2A09" w:rsidRPr="00F41F91" w:rsidRDefault="00D4745C" w:rsidP="00D057C3">
            <w:pPr>
              <w:jc w:val="center"/>
              <w:rPr>
                <w:sz w:val="18"/>
              </w:rPr>
            </w:pPr>
            <w:r>
              <w:rPr>
                <w:sz w:val="18"/>
              </w:rPr>
              <w:t>12/26/18</w:t>
            </w:r>
          </w:p>
        </w:tc>
        <w:tc>
          <w:tcPr>
            <w:tcW w:w="1350" w:type="dxa"/>
          </w:tcPr>
          <w:p w14:paraId="29B95BEC" w14:textId="2C5A7296" w:rsidR="007C2A09" w:rsidRPr="00F41F91" w:rsidRDefault="00D4745C" w:rsidP="00D057C3">
            <w:pPr>
              <w:jc w:val="center"/>
              <w:rPr>
                <w:sz w:val="18"/>
              </w:rPr>
            </w:pPr>
            <w:r>
              <w:rPr>
                <w:sz w:val="18"/>
              </w:rPr>
              <w:t>291 umhos/cm</w:t>
            </w:r>
          </w:p>
        </w:tc>
        <w:tc>
          <w:tcPr>
            <w:tcW w:w="1440" w:type="dxa"/>
          </w:tcPr>
          <w:p w14:paraId="470833B1" w14:textId="47DF96EA" w:rsidR="007C2A09" w:rsidRPr="00F41F91" w:rsidRDefault="00D4745C" w:rsidP="00D057C3">
            <w:pPr>
              <w:jc w:val="center"/>
              <w:rPr>
                <w:sz w:val="18"/>
              </w:rPr>
            </w:pPr>
            <w:r>
              <w:rPr>
                <w:sz w:val="18"/>
              </w:rPr>
              <w:t>N/A</w:t>
            </w:r>
          </w:p>
        </w:tc>
        <w:tc>
          <w:tcPr>
            <w:tcW w:w="900" w:type="dxa"/>
          </w:tcPr>
          <w:p w14:paraId="20B3E7AB" w14:textId="352FFBA7" w:rsidR="007C2A09" w:rsidRPr="00F41F91" w:rsidRDefault="00D4745C" w:rsidP="00D057C3">
            <w:pPr>
              <w:jc w:val="center"/>
              <w:rPr>
                <w:sz w:val="18"/>
              </w:rPr>
            </w:pPr>
            <w:r>
              <w:rPr>
                <w:sz w:val="18"/>
              </w:rPr>
              <w:t>2,200</w:t>
            </w:r>
          </w:p>
        </w:tc>
        <w:tc>
          <w:tcPr>
            <w:tcW w:w="1080" w:type="dxa"/>
          </w:tcPr>
          <w:p w14:paraId="30CB40D9" w14:textId="3DCA3050" w:rsidR="007C2A09" w:rsidRPr="00F41F91" w:rsidRDefault="00D4745C" w:rsidP="00D057C3">
            <w:pPr>
              <w:jc w:val="center"/>
              <w:rPr>
                <w:sz w:val="18"/>
              </w:rPr>
            </w:pPr>
            <w:r>
              <w:rPr>
                <w:sz w:val="18"/>
              </w:rPr>
              <w:t>ND</w:t>
            </w:r>
          </w:p>
        </w:tc>
        <w:tc>
          <w:tcPr>
            <w:tcW w:w="2808" w:type="dxa"/>
            <w:tcBorders>
              <w:right w:val="single" w:sz="6" w:space="0" w:color="auto"/>
            </w:tcBorders>
          </w:tcPr>
          <w:p w14:paraId="00838161" w14:textId="495F18FE" w:rsidR="007C2A09" w:rsidRPr="00F41F91" w:rsidRDefault="00D4745C" w:rsidP="00D057C3">
            <w:pPr>
              <w:rPr>
                <w:sz w:val="18"/>
              </w:rPr>
            </w:pPr>
            <w:r>
              <w:rPr>
                <w:sz w:val="18"/>
              </w:rPr>
              <w:t>Substances that form ions when in water; seawater influence</w:t>
            </w:r>
          </w:p>
        </w:tc>
      </w:tr>
      <w:tr w:rsidR="007C2A09" w:rsidRPr="001F3468" w14:paraId="3BA066E0" w14:textId="77777777" w:rsidTr="002F1DD3">
        <w:trPr>
          <w:trHeight w:val="432"/>
          <w:jc w:val="center"/>
        </w:trPr>
        <w:tc>
          <w:tcPr>
            <w:tcW w:w="2268" w:type="dxa"/>
            <w:gridSpan w:val="2"/>
            <w:tcBorders>
              <w:left w:val="single" w:sz="6" w:space="0" w:color="auto"/>
            </w:tcBorders>
          </w:tcPr>
          <w:p w14:paraId="044F4FC8" w14:textId="4FDA6F98" w:rsidR="007C2A09" w:rsidRPr="00F41F91" w:rsidRDefault="00D4745C" w:rsidP="00D057C3">
            <w:pPr>
              <w:ind w:left="187"/>
              <w:rPr>
                <w:sz w:val="18"/>
              </w:rPr>
            </w:pPr>
            <w:r>
              <w:rPr>
                <w:sz w:val="18"/>
              </w:rPr>
              <w:t>Total Dissolved solids (TDS) (ppm)</w:t>
            </w:r>
          </w:p>
        </w:tc>
        <w:tc>
          <w:tcPr>
            <w:tcW w:w="990" w:type="dxa"/>
          </w:tcPr>
          <w:p w14:paraId="71B44E1F" w14:textId="3639FA75" w:rsidR="007C2A09" w:rsidRPr="00F41F91" w:rsidRDefault="00D4745C" w:rsidP="00D057C3">
            <w:pPr>
              <w:jc w:val="center"/>
              <w:rPr>
                <w:sz w:val="18"/>
              </w:rPr>
            </w:pPr>
            <w:r>
              <w:rPr>
                <w:sz w:val="18"/>
              </w:rPr>
              <w:t>12/26/18</w:t>
            </w:r>
          </w:p>
        </w:tc>
        <w:tc>
          <w:tcPr>
            <w:tcW w:w="1350" w:type="dxa"/>
          </w:tcPr>
          <w:p w14:paraId="2D25EA62" w14:textId="09F8006D" w:rsidR="007C2A09" w:rsidRPr="00F41F91" w:rsidRDefault="00D4745C" w:rsidP="00D057C3">
            <w:pPr>
              <w:jc w:val="center"/>
              <w:rPr>
                <w:sz w:val="18"/>
              </w:rPr>
            </w:pPr>
            <w:r>
              <w:rPr>
                <w:sz w:val="18"/>
              </w:rPr>
              <w:t>180 ppm</w:t>
            </w:r>
          </w:p>
        </w:tc>
        <w:tc>
          <w:tcPr>
            <w:tcW w:w="1440" w:type="dxa"/>
          </w:tcPr>
          <w:p w14:paraId="229D7377" w14:textId="67AD75E2" w:rsidR="007C2A09" w:rsidRPr="00F41F91" w:rsidRDefault="00D4745C" w:rsidP="00D057C3">
            <w:pPr>
              <w:jc w:val="center"/>
              <w:rPr>
                <w:sz w:val="18"/>
              </w:rPr>
            </w:pPr>
            <w:r>
              <w:rPr>
                <w:sz w:val="18"/>
              </w:rPr>
              <w:t>N/A</w:t>
            </w:r>
          </w:p>
        </w:tc>
        <w:tc>
          <w:tcPr>
            <w:tcW w:w="900" w:type="dxa"/>
          </w:tcPr>
          <w:p w14:paraId="0D63691C" w14:textId="0CD612BB" w:rsidR="007C2A09" w:rsidRPr="00F41F91" w:rsidRDefault="00D4745C" w:rsidP="00D057C3">
            <w:pPr>
              <w:jc w:val="center"/>
              <w:rPr>
                <w:sz w:val="18"/>
              </w:rPr>
            </w:pPr>
            <w:r>
              <w:rPr>
                <w:sz w:val="18"/>
              </w:rPr>
              <w:t>1,500</w:t>
            </w:r>
          </w:p>
        </w:tc>
        <w:tc>
          <w:tcPr>
            <w:tcW w:w="1080" w:type="dxa"/>
          </w:tcPr>
          <w:p w14:paraId="39C41896" w14:textId="10AC46D4" w:rsidR="007C2A09" w:rsidRPr="00F41F91" w:rsidRDefault="00D4745C" w:rsidP="00D057C3">
            <w:pPr>
              <w:jc w:val="center"/>
              <w:rPr>
                <w:sz w:val="18"/>
              </w:rPr>
            </w:pPr>
            <w:r>
              <w:rPr>
                <w:sz w:val="18"/>
              </w:rPr>
              <w:t>ND</w:t>
            </w:r>
          </w:p>
        </w:tc>
        <w:tc>
          <w:tcPr>
            <w:tcW w:w="2808" w:type="dxa"/>
            <w:tcBorders>
              <w:right w:val="single" w:sz="6" w:space="0" w:color="auto"/>
            </w:tcBorders>
          </w:tcPr>
          <w:p w14:paraId="32EFFBEC" w14:textId="34A1A624" w:rsidR="007C2A09" w:rsidRPr="00F41F91" w:rsidRDefault="00D4745C" w:rsidP="00D057C3">
            <w:pPr>
              <w:rPr>
                <w:sz w:val="18"/>
              </w:rPr>
            </w:pPr>
            <w:r>
              <w:rPr>
                <w:sz w:val="18"/>
              </w:rPr>
              <w:t>Runoff/leaching from natural deposits</w:t>
            </w:r>
          </w:p>
        </w:tc>
      </w:tr>
      <w:tr w:rsidR="007C2A09" w:rsidRPr="001F3468" w14:paraId="25D5FC19" w14:textId="77777777" w:rsidTr="002F1DD3">
        <w:trPr>
          <w:trHeight w:val="432"/>
          <w:jc w:val="center"/>
        </w:trPr>
        <w:tc>
          <w:tcPr>
            <w:tcW w:w="2268" w:type="dxa"/>
            <w:gridSpan w:val="2"/>
            <w:tcBorders>
              <w:left w:val="single" w:sz="6" w:space="0" w:color="auto"/>
            </w:tcBorders>
          </w:tcPr>
          <w:p w14:paraId="1C05E611" w14:textId="3B3D695A" w:rsidR="007C2A09" w:rsidRPr="00F41F91" w:rsidRDefault="00D4745C" w:rsidP="00D057C3">
            <w:pPr>
              <w:ind w:left="187"/>
              <w:rPr>
                <w:sz w:val="18"/>
              </w:rPr>
            </w:pPr>
            <w:r>
              <w:rPr>
                <w:sz w:val="18"/>
              </w:rPr>
              <w:t>Color (Units)</w:t>
            </w:r>
          </w:p>
        </w:tc>
        <w:tc>
          <w:tcPr>
            <w:tcW w:w="990" w:type="dxa"/>
          </w:tcPr>
          <w:p w14:paraId="2957E45B" w14:textId="694A1D90" w:rsidR="007C2A09" w:rsidRPr="00F41F91" w:rsidRDefault="00D4745C" w:rsidP="00D057C3">
            <w:pPr>
              <w:jc w:val="center"/>
              <w:rPr>
                <w:sz w:val="18"/>
              </w:rPr>
            </w:pPr>
            <w:r>
              <w:rPr>
                <w:sz w:val="18"/>
              </w:rPr>
              <w:t>12/26/18</w:t>
            </w:r>
          </w:p>
        </w:tc>
        <w:tc>
          <w:tcPr>
            <w:tcW w:w="1350" w:type="dxa"/>
          </w:tcPr>
          <w:p w14:paraId="2BE04A28" w14:textId="3DFF67D4" w:rsidR="007C2A09" w:rsidRPr="00F41F91" w:rsidRDefault="00D4745C" w:rsidP="00D057C3">
            <w:pPr>
              <w:jc w:val="center"/>
              <w:rPr>
                <w:sz w:val="18"/>
              </w:rPr>
            </w:pPr>
            <w:r>
              <w:rPr>
                <w:sz w:val="18"/>
              </w:rPr>
              <w:t>1.0</w:t>
            </w:r>
          </w:p>
        </w:tc>
        <w:tc>
          <w:tcPr>
            <w:tcW w:w="1440" w:type="dxa"/>
          </w:tcPr>
          <w:p w14:paraId="5689A4DD" w14:textId="04904801" w:rsidR="007C2A09" w:rsidRPr="00F41F91" w:rsidRDefault="00D4745C" w:rsidP="00D057C3">
            <w:pPr>
              <w:jc w:val="center"/>
              <w:rPr>
                <w:sz w:val="18"/>
              </w:rPr>
            </w:pPr>
            <w:r>
              <w:rPr>
                <w:sz w:val="18"/>
              </w:rPr>
              <w:t>N/A</w:t>
            </w:r>
          </w:p>
        </w:tc>
        <w:tc>
          <w:tcPr>
            <w:tcW w:w="900" w:type="dxa"/>
          </w:tcPr>
          <w:p w14:paraId="7986A54C" w14:textId="0B995A57" w:rsidR="007C2A09" w:rsidRPr="00F41F91" w:rsidRDefault="00D4745C" w:rsidP="00D057C3">
            <w:pPr>
              <w:jc w:val="center"/>
              <w:rPr>
                <w:sz w:val="18"/>
              </w:rPr>
            </w:pPr>
            <w:r>
              <w:rPr>
                <w:sz w:val="18"/>
              </w:rPr>
              <w:t>15</w:t>
            </w:r>
          </w:p>
        </w:tc>
        <w:tc>
          <w:tcPr>
            <w:tcW w:w="1080" w:type="dxa"/>
          </w:tcPr>
          <w:p w14:paraId="3D804DD8" w14:textId="1883595B" w:rsidR="007C2A09" w:rsidRPr="00F41F91" w:rsidRDefault="00D4745C" w:rsidP="00D057C3">
            <w:pPr>
              <w:jc w:val="center"/>
              <w:rPr>
                <w:sz w:val="18"/>
              </w:rPr>
            </w:pPr>
            <w:r>
              <w:rPr>
                <w:sz w:val="18"/>
              </w:rPr>
              <w:t>1 Unit</w:t>
            </w:r>
          </w:p>
        </w:tc>
        <w:tc>
          <w:tcPr>
            <w:tcW w:w="2808" w:type="dxa"/>
            <w:tcBorders>
              <w:right w:val="single" w:sz="6" w:space="0" w:color="auto"/>
            </w:tcBorders>
          </w:tcPr>
          <w:p w14:paraId="7E372D68" w14:textId="395E40C0" w:rsidR="007C2A09" w:rsidRPr="00F41F91" w:rsidRDefault="00D4745C" w:rsidP="00D057C3">
            <w:pPr>
              <w:rPr>
                <w:sz w:val="18"/>
              </w:rPr>
            </w:pPr>
            <w:r>
              <w:rPr>
                <w:sz w:val="18"/>
              </w:rPr>
              <w:t>Naturally-occurring organic materials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F3247F2" w:rsidR="00BC6327" w:rsidRPr="00F41F91" w:rsidRDefault="00D4745C" w:rsidP="00D057C3">
            <w:pPr>
              <w:ind w:left="187"/>
              <w:rPr>
                <w:sz w:val="18"/>
              </w:rPr>
            </w:pPr>
            <w:r>
              <w:rPr>
                <w:sz w:val="18"/>
              </w:rPr>
              <w:t>Turbidity (Units)</w:t>
            </w:r>
          </w:p>
        </w:tc>
        <w:tc>
          <w:tcPr>
            <w:tcW w:w="990" w:type="dxa"/>
            <w:tcBorders>
              <w:bottom w:val="single" w:sz="18" w:space="0" w:color="auto"/>
            </w:tcBorders>
          </w:tcPr>
          <w:p w14:paraId="741CA754" w14:textId="5B5D0CF4" w:rsidR="00BC6327" w:rsidRPr="00F41F91" w:rsidRDefault="00D4745C" w:rsidP="00D057C3">
            <w:pPr>
              <w:jc w:val="center"/>
              <w:rPr>
                <w:sz w:val="18"/>
              </w:rPr>
            </w:pPr>
            <w:r>
              <w:rPr>
                <w:sz w:val="18"/>
              </w:rPr>
              <w:t>12/26/18</w:t>
            </w:r>
          </w:p>
        </w:tc>
        <w:tc>
          <w:tcPr>
            <w:tcW w:w="1350" w:type="dxa"/>
            <w:tcBorders>
              <w:bottom w:val="single" w:sz="18" w:space="0" w:color="auto"/>
              <w:right w:val="single" w:sz="6" w:space="0" w:color="auto"/>
            </w:tcBorders>
          </w:tcPr>
          <w:p w14:paraId="36010001" w14:textId="77777777" w:rsidR="00BC6327" w:rsidRDefault="00D4745C" w:rsidP="00D057C3">
            <w:pPr>
              <w:jc w:val="center"/>
              <w:rPr>
                <w:sz w:val="18"/>
              </w:rPr>
            </w:pPr>
            <w:r>
              <w:rPr>
                <w:sz w:val="18"/>
              </w:rPr>
              <w:t xml:space="preserve">0.18 </w:t>
            </w:r>
          </w:p>
          <w:p w14:paraId="0A4C2B05" w14:textId="7E23F8C1" w:rsidR="00D4745C" w:rsidRPr="00F41F91" w:rsidRDefault="00D4745C" w:rsidP="00D057C3">
            <w:pPr>
              <w:jc w:val="center"/>
              <w:rPr>
                <w:sz w:val="18"/>
              </w:rPr>
            </w:pPr>
            <w:r>
              <w:rPr>
                <w:sz w:val="18"/>
              </w:rPr>
              <w:t>NT Units</w:t>
            </w:r>
          </w:p>
        </w:tc>
        <w:tc>
          <w:tcPr>
            <w:tcW w:w="1440" w:type="dxa"/>
            <w:tcBorders>
              <w:left w:val="single" w:sz="6" w:space="0" w:color="auto"/>
              <w:bottom w:val="single" w:sz="18" w:space="0" w:color="auto"/>
              <w:right w:val="single" w:sz="6" w:space="0" w:color="auto"/>
            </w:tcBorders>
          </w:tcPr>
          <w:p w14:paraId="271B08B4" w14:textId="2E270D3B" w:rsidR="00BC6327" w:rsidRPr="00F41F91" w:rsidRDefault="00D4745C" w:rsidP="00D057C3">
            <w:pPr>
              <w:jc w:val="center"/>
              <w:rPr>
                <w:sz w:val="18"/>
              </w:rPr>
            </w:pPr>
            <w:r>
              <w:rPr>
                <w:sz w:val="18"/>
              </w:rPr>
              <w:t>N/A</w:t>
            </w:r>
          </w:p>
        </w:tc>
        <w:tc>
          <w:tcPr>
            <w:tcW w:w="900" w:type="dxa"/>
            <w:tcBorders>
              <w:left w:val="single" w:sz="6" w:space="0" w:color="auto"/>
              <w:bottom w:val="single" w:sz="18" w:space="0" w:color="auto"/>
            </w:tcBorders>
          </w:tcPr>
          <w:p w14:paraId="5329A979" w14:textId="152B7D3F" w:rsidR="00BC6327" w:rsidRPr="00F41F91" w:rsidRDefault="00D4745C" w:rsidP="00D057C3">
            <w:pPr>
              <w:jc w:val="center"/>
              <w:rPr>
                <w:sz w:val="18"/>
              </w:rPr>
            </w:pPr>
            <w:r>
              <w:rPr>
                <w:sz w:val="18"/>
              </w:rPr>
              <w:t>5</w:t>
            </w:r>
          </w:p>
        </w:tc>
        <w:tc>
          <w:tcPr>
            <w:tcW w:w="1080" w:type="dxa"/>
            <w:tcBorders>
              <w:bottom w:val="single" w:sz="18" w:space="0" w:color="auto"/>
            </w:tcBorders>
          </w:tcPr>
          <w:p w14:paraId="005756C3" w14:textId="3C25FDB8" w:rsidR="00BC6327" w:rsidRPr="00F41F91" w:rsidRDefault="00D4745C" w:rsidP="00D057C3">
            <w:pPr>
              <w:jc w:val="center"/>
              <w:rPr>
                <w:sz w:val="18"/>
              </w:rPr>
            </w:pPr>
            <w:r>
              <w:rPr>
                <w:sz w:val="18"/>
              </w:rPr>
              <w:t>ND</w:t>
            </w:r>
          </w:p>
        </w:tc>
        <w:tc>
          <w:tcPr>
            <w:tcW w:w="2808" w:type="dxa"/>
            <w:tcBorders>
              <w:bottom w:val="single" w:sz="18" w:space="0" w:color="auto"/>
              <w:right w:val="single" w:sz="6" w:space="0" w:color="auto"/>
            </w:tcBorders>
          </w:tcPr>
          <w:p w14:paraId="31A8151D" w14:textId="7B526D58" w:rsidR="00BC6327" w:rsidRPr="00F41F91" w:rsidRDefault="00D4745C" w:rsidP="00D057C3">
            <w:pPr>
              <w:rPr>
                <w:sz w:val="18"/>
              </w:rPr>
            </w:pPr>
            <w:r>
              <w:rPr>
                <w:sz w:val="18"/>
              </w:rPr>
              <w:t>Soil runoff.</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5F69EFDE"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313DA65B" w:rsidR="000C16DD" w:rsidRPr="00F41F91" w:rsidRDefault="00FB6CF8" w:rsidP="00D057C3">
            <w:pPr>
              <w:rPr>
                <w:sz w:val="18"/>
              </w:rPr>
            </w:pPr>
            <w:r>
              <w:rPr>
                <w:sz w:val="18"/>
              </w:rPr>
              <w:t>Hexavalent Chromium</w:t>
            </w:r>
          </w:p>
        </w:tc>
        <w:tc>
          <w:tcPr>
            <w:tcW w:w="990" w:type="dxa"/>
            <w:tcBorders>
              <w:left w:val="single" w:sz="6" w:space="0" w:color="auto"/>
              <w:bottom w:val="single" w:sz="18" w:space="0" w:color="auto"/>
              <w:right w:val="single" w:sz="6" w:space="0" w:color="auto"/>
            </w:tcBorders>
          </w:tcPr>
          <w:p w14:paraId="29134B0A" w14:textId="29090B53" w:rsidR="000C16DD" w:rsidRPr="00F41F91" w:rsidRDefault="00FB6CF8" w:rsidP="00D057C3">
            <w:pPr>
              <w:rPr>
                <w:sz w:val="18"/>
              </w:rPr>
            </w:pPr>
            <w:r>
              <w:rPr>
                <w:sz w:val="18"/>
              </w:rPr>
              <w:t>03/11/15</w:t>
            </w:r>
          </w:p>
        </w:tc>
        <w:tc>
          <w:tcPr>
            <w:tcW w:w="1350" w:type="dxa"/>
            <w:tcBorders>
              <w:left w:val="single" w:sz="6" w:space="0" w:color="auto"/>
              <w:bottom w:val="single" w:sz="18" w:space="0" w:color="auto"/>
              <w:right w:val="single" w:sz="6" w:space="0" w:color="auto"/>
            </w:tcBorders>
          </w:tcPr>
          <w:p w14:paraId="6432953F" w14:textId="1B0E6130" w:rsidR="000C16DD" w:rsidRPr="00F41F91" w:rsidRDefault="00FB6CF8" w:rsidP="00D057C3">
            <w:pPr>
              <w:rPr>
                <w:sz w:val="18"/>
              </w:rPr>
            </w:pPr>
            <w:r>
              <w:rPr>
                <w:sz w:val="18"/>
              </w:rPr>
              <w:t>0.95 ug/L</w:t>
            </w:r>
          </w:p>
        </w:tc>
        <w:tc>
          <w:tcPr>
            <w:tcW w:w="1440" w:type="dxa"/>
            <w:tcBorders>
              <w:left w:val="single" w:sz="6" w:space="0" w:color="auto"/>
              <w:bottom w:val="single" w:sz="18" w:space="0" w:color="auto"/>
              <w:right w:val="single" w:sz="6" w:space="0" w:color="auto"/>
            </w:tcBorders>
            <w:shd w:val="clear" w:color="auto" w:fill="auto"/>
          </w:tcPr>
          <w:p w14:paraId="03949132" w14:textId="24F16897" w:rsidR="000C16DD" w:rsidRPr="00F41F91" w:rsidRDefault="00FB6CF8" w:rsidP="00D057C3">
            <w:pPr>
              <w:rPr>
                <w:sz w:val="18"/>
              </w:rPr>
            </w:pPr>
            <w:r>
              <w:rPr>
                <w:sz w:val="18"/>
              </w:rPr>
              <w:t xml:space="preserve">          N/A</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0A072B8D" w:rsidR="000C16DD" w:rsidRPr="00F41F91" w:rsidRDefault="00FB6CF8" w:rsidP="00D057C3">
            <w:pPr>
              <w:rPr>
                <w:sz w:val="18"/>
              </w:rPr>
            </w:pPr>
            <w:r>
              <w:rPr>
                <w:sz w:val="18"/>
              </w:rPr>
              <w:t xml:space="preserve">        0.010 ml/L</w:t>
            </w:r>
          </w:p>
        </w:tc>
        <w:tc>
          <w:tcPr>
            <w:tcW w:w="2808" w:type="dxa"/>
            <w:tcBorders>
              <w:top w:val="single" w:sz="6" w:space="0" w:color="auto"/>
              <w:left w:val="single" w:sz="6" w:space="0" w:color="auto"/>
              <w:bottom w:val="single" w:sz="18" w:space="0" w:color="auto"/>
              <w:right w:val="single" w:sz="6" w:space="0" w:color="auto"/>
            </w:tcBorders>
          </w:tcPr>
          <w:p w14:paraId="4ADBE9E0" w14:textId="77777777" w:rsidR="0069003D" w:rsidRDefault="00FB6CF8" w:rsidP="00D057C3">
            <w:pPr>
              <w:rPr>
                <w:sz w:val="22"/>
                <w:szCs w:val="22"/>
              </w:rPr>
            </w:pPr>
            <w:r w:rsidRPr="003860C9">
              <w:rPr>
                <w:sz w:val="22"/>
                <w:szCs w:val="22"/>
              </w:rPr>
              <w:t xml:space="preserve">Some people who drink water containing hexavalent </w:t>
            </w:r>
          </w:p>
          <w:p w14:paraId="1C32453F" w14:textId="71A802A6" w:rsidR="000C16DD" w:rsidRPr="00F41F91" w:rsidRDefault="00FB6CF8" w:rsidP="00D057C3">
            <w:pPr>
              <w:rPr>
                <w:sz w:val="18"/>
              </w:rPr>
            </w:pPr>
            <w:r w:rsidRPr="003860C9">
              <w:rPr>
                <w:sz w:val="22"/>
                <w:szCs w:val="22"/>
              </w:rPr>
              <w:lastRenderedPageBreak/>
              <w:t>chromium in excess of the MCL over many years may have an increased risk of getting cancer</w:t>
            </w:r>
          </w:p>
        </w:tc>
      </w:tr>
    </w:tbl>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8CF8A8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B6CF8" w:rsidRPr="00FB6CF8">
        <w:rPr>
          <w:rFonts w:ascii="Times New Roman" w:hAnsi="Times New Roman"/>
        </w:rPr>
        <w:t>North Kranenburg</w:t>
      </w:r>
      <w:r w:rsidR="00FB6CF8">
        <w:rPr>
          <w:rFonts w:ascii="Times New Roman" w:hAnsi="Times New Roman"/>
          <w:u w:val="single"/>
        </w:rPr>
        <w:t xml:space="preserve"> </w:t>
      </w:r>
      <w:r w:rsidR="00FB6CF8">
        <w:t>Water System Mutual Water Company</w:t>
      </w:r>
      <w:r w:rsidR="00FB6CF8">
        <w:rPr>
          <w:rFonts w:ascii="Times New Roman" w:hAnsi="Times New Roman"/>
          <w:u w:val="single"/>
        </w:rPr>
        <w:t xml:space="preserve">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09D85B36" w:rsidR="00803861" w:rsidRPr="00FB6CF8" w:rsidRDefault="00FB6CF8" w:rsidP="00AC41BE">
            <w:pPr>
              <w:pStyle w:val="BodyText"/>
              <w:spacing w:before="0"/>
              <w:jc w:val="left"/>
              <w:rPr>
                <w:rFonts w:ascii="Times New Roman" w:hAnsi="Times New Roman"/>
                <w:sz w:val="20"/>
              </w:rPr>
            </w:pPr>
            <w:r w:rsidRPr="00FB6CF8">
              <w:rPr>
                <w:rFonts w:ascii="Times New Roman" w:hAnsi="Times New Roman"/>
                <w:sz w:val="20"/>
              </w:rPr>
              <w:t>Compliance Order No. 03_12_18R_047</w:t>
            </w:r>
          </w:p>
        </w:tc>
        <w:tc>
          <w:tcPr>
            <w:tcW w:w="2203" w:type="dxa"/>
            <w:tcBorders>
              <w:top w:val="double" w:sz="6" w:space="0" w:color="auto"/>
              <w:bottom w:val="single" w:sz="4" w:space="0" w:color="auto"/>
            </w:tcBorders>
            <w:shd w:val="clear" w:color="auto" w:fill="auto"/>
          </w:tcPr>
          <w:p w14:paraId="21F79F40" w14:textId="77777777" w:rsidR="00803861" w:rsidRPr="00FB6CF8" w:rsidRDefault="00FB6CF8" w:rsidP="00AC41BE">
            <w:pPr>
              <w:pStyle w:val="BodyText"/>
              <w:spacing w:before="0"/>
              <w:jc w:val="left"/>
              <w:rPr>
                <w:rFonts w:ascii="Times New Roman" w:hAnsi="Times New Roman"/>
                <w:sz w:val="20"/>
              </w:rPr>
            </w:pPr>
            <w:r w:rsidRPr="00FB6CF8">
              <w:rPr>
                <w:rFonts w:ascii="Times New Roman" w:hAnsi="Times New Roman"/>
                <w:sz w:val="20"/>
              </w:rPr>
              <w:t xml:space="preserve">1,2,3-Trichloropropane </w:t>
            </w:r>
          </w:p>
          <w:p w14:paraId="0C6FD2A3" w14:textId="33A52435" w:rsidR="00FB6CF8" w:rsidRPr="00FB6CF8" w:rsidRDefault="00FB6CF8" w:rsidP="00AC41BE">
            <w:pPr>
              <w:pStyle w:val="BodyText"/>
              <w:spacing w:before="0"/>
              <w:jc w:val="left"/>
              <w:rPr>
                <w:rFonts w:ascii="Times New Roman" w:hAnsi="Times New Roman"/>
                <w:sz w:val="26"/>
              </w:rPr>
            </w:pPr>
            <w:r w:rsidRPr="00FB6CF8">
              <w:rPr>
                <w:rFonts w:ascii="Times New Roman" w:hAnsi="Times New Roman"/>
                <w:sz w:val="20"/>
              </w:rPr>
              <w:t>MCL Violation</w:t>
            </w:r>
          </w:p>
        </w:tc>
        <w:tc>
          <w:tcPr>
            <w:tcW w:w="2203" w:type="dxa"/>
            <w:tcBorders>
              <w:top w:val="double" w:sz="6" w:space="0" w:color="auto"/>
              <w:bottom w:val="single" w:sz="4" w:space="0" w:color="auto"/>
            </w:tcBorders>
            <w:shd w:val="clear" w:color="auto" w:fill="auto"/>
          </w:tcPr>
          <w:p w14:paraId="38F06260" w14:textId="5B0204EC" w:rsidR="00803861" w:rsidRPr="00FB6CF8" w:rsidRDefault="00FB6CF8" w:rsidP="00AC41BE">
            <w:pPr>
              <w:pStyle w:val="BodyText"/>
              <w:spacing w:before="0"/>
              <w:jc w:val="left"/>
              <w:rPr>
                <w:rFonts w:ascii="Times New Roman" w:hAnsi="Times New Roman"/>
                <w:sz w:val="20"/>
              </w:rPr>
            </w:pPr>
            <w:r w:rsidRPr="00FB6CF8">
              <w:rPr>
                <w:rFonts w:ascii="Times New Roman" w:hAnsi="Times New Roman"/>
                <w:sz w:val="20"/>
              </w:rPr>
              <w:t>4</w:t>
            </w:r>
            <w:r w:rsidRPr="00FB6CF8">
              <w:rPr>
                <w:rFonts w:ascii="Times New Roman" w:hAnsi="Times New Roman"/>
                <w:sz w:val="20"/>
                <w:vertAlign w:val="superscript"/>
              </w:rPr>
              <w:t>th</w:t>
            </w:r>
            <w:r w:rsidRPr="00FB6CF8">
              <w:rPr>
                <w:rFonts w:ascii="Times New Roman" w:hAnsi="Times New Roman"/>
                <w:sz w:val="20"/>
              </w:rPr>
              <w:t xml:space="preserve"> quarter, 201</w:t>
            </w:r>
            <w:r w:rsidR="0069003D">
              <w:rPr>
                <w:rFonts w:ascii="Times New Roman" w:hAnsi="Times New Roman"/>
                <w:sz w:val="20"/>
              </w:rPr>
              <w:t>9</w:t>
            </w:r>
            <w:bookmarkStart w:id="0" w:name="_GoBack"/>
            <w:bookmarkEnd w:id="0"/>
          </w:p>
        </w:tc>
        <w:tc>
          <w:tcPr>
            <w:tcW w:w="2203" w:type="dxa"/>
            <w:tcBorders>
              <w:top w:val="double" w:sz="6" w:space="0" w:color="auto"/>
              <w:bottom w:val="single" w:sz="4" w:space="0" w:color="auto"/>
            </w:tcBorders>
            <w:shd w:val="clear" w:color="auto" w:fill="auto"/>
          </w:tcPr>
          <w:p w14:paraId="78FAC853" w14:textId="61817587" w:rsidR="00803861" w:rsidRPr="00FB6CF8" w:rsidRDefault="00FB6CF8" w:rsidP="00AC41BE">
            <w:pPr>
              <w:pStyle w:val="BodyText"/>
              <w:spacing w:before="0"/>
              <w:jc w:val="left"/>
              <w:rPr>
                <w:rFonts w:ascii="Times New Roman" w:hAnsi="Times New Roman"/>
                <w:sz w:val="20"/>
              </w:rPr>
            </w:pPr>
            <w:r w:rsidRPr="00FB6CF8">
              <w:rPr>
                <w:rFonts w:ascii="Times New Roman" w:hAnsi="Times New Roman"/>
                <w:sz w:val="20"/>
              </w:rPr>
              <w:t>Requires quarterly samples and reports.</w:t>
            </w:r>
          </w:p>
        </w:tc>
        <w:tc>
          <w:tcPr>
            <w:tcW w:w="2096" w:type="dxa"/>
            <w:tcBorders>
              <w:top w:val="double" w:sz="6" w:space="0" w:color="auto"/>
              <w:bottom w:val="single" w:sz="4" w:space="0" w:color="auto"/>
            </w:tcBorders>
            <w:shd w:val="clear" w:color="auto" w:fill="auto"/>
          </w:tcPr>
          <w:p w14:paraId="47E414FC" w14:textId="0A479A28" w:rsidR="00803861" w:rsidRPr="00FB6CF8" w:rsidRDefault="00FB6CF8" w:rsidP="00FB6CF8">
            <w:pPr>
              <w:pStyle w:val="Default"/>
              <w:rPr>
                <w:rFonts w:ascii="Times New Roman" w:hAnsi="Times New Roman" w:cs="Times New Roman"/>
                <w:b/>
                <w:sz w:val="26"/>
              </w:rPr>
            </w:pPr>
            <w:r w:rsidRPr="00FB6CF8">
              <w:rPr>
                <w:rFonts w:ascii="Times New Roman" w:hAnsi="Times New Roman" w:cs="Times New Roman"/>
                <w:sz w:val="20"/>
                <w:szCs w:val="20"/>
              </w:rPr>
              <w:t xml:space="preserve">TCP is a contaminant of interest to the government, private sector and other parties. It is a persistent pollutant in groundwater and has been classified as “likely to be carcinogenic to humans” by the EPA. </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lastRenderedPageBreak/>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77F19864" w14:textId="77777777" w:rsidR="00181F3E" w:rsidRDefault="00181F3E" w:rsidP="00F75012">
            <w:pPr>
              <w:spacing w:before="20" w:after="20"/>
              <w:jc w:val="center"/>
              <w:rPr>
                <w:sz w:val="18"/>
              </w:rPr>
            </w:pPr>
            <w:r w:rsidRPr="00F41F91">
              <w:rPr>
                <w:sz w:val="18"/>
              </w:rPr>
              <w:t>(In the year)</w:t>
            </w:r>
          </w:p>
          <w:p w14:paraId="35504704" w14:textId="0A702673" w:rsidR="00FB6CF8" w:rsidRPr="00F41F91" w:rsidRDefault="00FB6CF8" w:rsidP="00F75012">
            <w:pPr>
              <w:spacing w:before="20" w:after="20"/>
              <w:jc w:val="center"/>
              <w:rPr>
                <w:sz w:val="18"/>
              </w:rPr>
            </w:pPr>
            <w:r>
              <w:rPr>
                <w:sz w:val="18"/>
              </w:rPr>
              <w:t>0</w:t>
            </w:r>
          </w:p>
        </w:tc>
        <w:tc>
          <w:tcPr>
            <w:tcW w:w="1350" w:type="dxa"/>
            <w:tcBorders>
              <w:top w:val="nil"/>
            </w:tcBorders>
          </w:tcPr>
          <w:p w14:paraId="63C1391F" w14:textId="05C82BDF" w:rsidR="00181F3E" w:rsidRPr="00F41F91" w:rsidRDefault="00FB6CF8" w:rsidP="00F75012">
            <w:pPr>
              <w:spacing w:before="20" w:after="20"/>
              <w:jc w:val="center"/>
              <w:rPr>
                <w:sz w:val="18"/>
              </w:rPr>
            </w:pPr>
            <w:r>
              <w:rPr>
                <w:sz w:val="18"/>
              </w:rPr>
              <w:t>Monthly</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0B7FAF78" w14:textId="77777777" w:rsidR="00181F3E" w:rsidRDefault="00181F3E" w:rsidP="00F75012">
            <w:pPr>
              <w:spacing w:before="20" w:after="20"/>
              <w:jc w:val="center"/>
              <w:rPr>
                <w:sz w:val="18"/>
              </w:rPr>
            </w:pPr>
            <w:r w:rsidRPr="00F41F91">
              <w:rPr>
                <w:sz w:val="18"/>
              </w:rPr>
              <w:t>(In the year)</w:t>
            </w:r>
          </w:p>
          <w:p w14:paraId="60AE42FC" w14:textId="3C7B5015" w:rsidR="00FB6CF8" w:rsidRPr="00F41F91" w:rsidRDefault="00FB6CF8" w:rsidP="00F75012">
            <w:pPr>
              <w:spacing w:before="20" w:after="20"/>
              <w:jc w:val="center"/>
              <w:rPr>
                <w:sz w:val="18"/>
              </w:rPr>
            </w:pPr>
            <w:r>
              <w:rPr>
                <w:sz w:val="18"/>
              </w:rPr>
              <w:t>0</w:t>
            </w:r>
          </w:p>
        </w:tc>
        <w:tc>
          <w:tcPr>
            <w:tcW w:w="1350" w:type="dxa"/>
          </w:tcPr>
          <w:p w14:paraId="184CB2D0" w14:textId="14E6C4B3" w:rsidR="00181F3E" w:rsidRPr="00F41F91" w:rsidRDefault="005A0DC8" w:rsidP="00F75012">
            <w:pPr>
              <w:spacing w:before="20" w:after="20"/>
              <w:jc w:val="center"/>
              <w:rPr>
                <w:sz w:val="18"/>
              </w:rPr>
            </w:pPr>
            <w:r>
              <w:rPr>
                <w:sz w:val="18"/>
              </w:rPr>
              <w:t>Monthly</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61BC0606" w14:textId="77777777" w:rsidR="00181F3E" w:rsidRDefault="00181F3E" w:rsidP="00F75012">
            <w:pPr>
              <w:spacing w:before="20" w:after="20"/>
              <w:jc w:val="center"/>
              <w:rPr>
                <w:sz w:val="18"/>
              </w:rPr>
            </w:pPr>
            <w:r w:rsidRPr="00F41F91">
              <w:rPr>
                <w:sz w:val="18"/>
              </w:rPr>
              <w:t>(In the year)</w:t>
            </w:r>
          </w:p>
          <w:p w14:paraId="4A8FE09D" w14:textId="05401091" w:rsidR="00FB6CF8" w:rsidRPr="00F41F91" w:rsidRDefault="00FB6CF8" w:rsidP="00F75012">
            <w:pPr>
              <w:spacing w:before="20" w:after="20"/>
              <w:jc w:val="center"/>
              <w:rPr>
                <w:sz w:val="18"/>
              </w:rPr>
            </w:pPr>
            <w:r>
              <w:rPr>
                <w:sz w:val="18"/>
              </w:rPr>
              <w:t>0</w:t>
            </w:r>
          </w:p>
        </w:tc>
        <w:tc>
          <w:tcPr>
            <w:tcW w:w="1350" w:type="dxa"/>
            <w:tcBorders>
              <w:bottom w:val="single" w:sz="18" w:space="0" w:color="auto"/>
            </w:tcBorders>
          </w:tcPr>
          <w:p w14:paraId="0CA8CA65" w14:textId="7414CDFB" w:rsidR="00181F3E" w:rsidRPr="00F41F91" w:rsidRDefault="005A0DC8" w:rsidP="00F75012">
            <w:pPr>
              <w:spacing w:before="20" w:after="20"/>
              <w:jc w:val="center"/>
              <w:rPr>
                <w:sz w:val="18"/>
              </w:rPr>
            </w:pPr>
            <w:r>
              <w:rPr>
                <w:sz w:val="18"/>
              </w:rPr>
              <w:t>Monthly</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5D2F16E9" w:rsidR="00C24948" w:rsidRPr="00F41F91" w:rsidRDefault="005A0DC8"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72ACFBC0" w14:textId="77777777" w:rsidR="00BE6564" w:rsidRPr="00DD7D18" w:rsidRDefault="00BE6564" w:rsidP="005A0DC8">
      <w:pPr>
        <w:pStyle w:val="BodyText"/>
        <w:keepNext/>
        <w:keepLines/>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altName w:val="Palatino"/>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69003D">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69003D">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A03"/>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0DC8"/>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003D"/>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C2A09"/>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20AB"/>
    <w:rsid w:val="00D15AE0"/>
    <w:rsid w:val="00D26951"/>
    <w:rsid w:val="00D272CB"/>
    <w:rsid w:val="00D33C8C"/>
    <w:rsid w:val="00D37E1F"/>
    <w:rsid w:val="00D47015"/>
    <w:rsid w:val="00D4745C"/>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B6CF8"/>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300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Default">
    <w:name w:val="Default"/>
    <w:rsid w:val="00FB6CF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2197</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14537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Dr Gunderson</cp:lastModifiedBy>
  <cp:revision>2</cp:revision>
  <cp:lastPrinted>2018-12-11T18:58:00Z</cp:lastPrinted>
  <dcterms:created xsi:type="dcterms:W3CDTF">2020-05-26T21:47:00Z</dcterms:created>
  <dcterms:modified xsi:type="dcterms:W3CDTF">2020-05-26T21:47:00Z</dcterms:modified>
</cp:coreProperties>
</file>