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FA2854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336D65">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1B9B26A" w:rsidR="00BC6327" w:rsidRPr="00412B2F" w:rsidRDefault="00CF199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National Cement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EB97233"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CF1997">
              <w:rPr>
                <w:sz w:val="21"/>
                <w:szCs w:val="21"/>
              </w:rPr>
              <w:t>ne 30</w:t>
            </w:r>
            <w:r>
              <w:rPr>
                <w:sz w:val="21"/>
                <w:szCs w:val="21"/>
              </w:rPr>
              <w:t>, 202</w:t>
            </w:r>
            <w:r w:rsidR="00336D65">
              <w:rPr>
                <w:sz w:val="21"/>
                <w:szCs w:val="21"/>
              </w:rPr>
              <w:t>4</w:t>
            </w:r>
          </w:p>
        </w:tc>
      </w:tr>
    </w:tbl>
    <w:p w14:paraId="14AA4D8D" w14:textId="7729E01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336D65">
        <w:rPr>
          <w:i/>
          <w:sz w:val="21"/>
          <w:szCs w:val="21"/>
        </w:rPr>
        <w:t>3</w:t>
      </w:r>
      <w:r w:rsidR="00D37E1F" w:rsidRPr="00412B2F">
        <w:rPr>
          <w:i/>
          <w:sz w:val="21"/>
          <w:szCs w:val="21"/>
        </w:rPr>
        <w:t xml:space="preserve"> and may include earlier monitoring data</w:t>
      </w:r>
      <w:r w:rsidRPr="00412B2F">
        <w:rPr>
          <w:i/>
          <w:sz w:val="21"/>
          <w:szCs w:val="21"/>
        </w:rPr>
        <w:t>.</w:t>
      </w:r>
    </w:p>
    <w:p w14:paraId="76F47AA3" w14:textId="0F9DF7B5"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47416A">
        <w:rPr>
          <w:b/>
          <w:bCs/>
          <w:i/>
          <w:sz w:val="21"/>
          <w:szCs w:val="21"/>
          <w:u w:val="single"/>
          <w:lang w:val="es-MX"/>
        </w:rPr>
        <w:t>Nacional</w:t>
      </w:r>
      <w:r w:rsidR="00CF1997">
        <w:rPr>
          <w:b/>
          <w:bCs/>
          <w:i/>
          <w:sz w:val="21"/>
          <w:szCs w:val="21"/>
          <w:u w:val="single"/>
          <w:lang w:val="es-MX"/>
        </w:rPr>
        <w:t xml:space="preserve"> </w:t>
      </w:r>
      <w:r w:rsidR="0047416A">
        <w:rPr>
          <w:b/>
          <w:bCs/>
          <w:i/>
          <w:sz w:val="21"/>
          <w:szCs w:val="21"/>
          <w:u w:val="single"/>
          <w:lang w:val="es-MX"/>
        </w:rPr>
        <w:t>Cemento</w:t>
      </w:r>
      <w:r w:rsidRPr="00442D66">
        <w:rPr>
          <w:b/>
          <w:bCs/>
          <w:sz w:val="21"/>
          <w:szCs w:val="21"/>
          <w:lang w:val="es-MX"/>
        </w:rPr>
        <w:t>] a [</w:t>
      </w:r>
      <w:r w:rsidR="00CF1997">
        <w:rPr>
          <w:b/>
          <w:bCs/>
          <w:sz w:val="21"/>
          <w:szCs w:val="21"/>
          <w:lang w:val="es-MX"/>
        </w:rPr>
        <w:t>661-495-1976</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AFB07A"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r w:rsidR="00CF1997">
              <w:rPr>
                <w:sz w:val="21"/>
                <w:szCs w:val="21"/>
              </w:rPr>
              <w:t xml:space="preserve">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DB7B8C2"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CF1997">
              <w:rPr>
                <w:sz w:val="21"/>
                <w:szCs w:val="21"/>
              </w:rPr>
              <w:t xml:space="preserve"> – Approx. 3 miles east of plant</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7AB8BBC" w:rsidR="00BC6327" w:rsidRPr="00412B2F" w:rsidRDefault="00CF199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source water assessment was performed on Nov. 15, 2009. A copy of the complete assessment can be obtained by contacting </w:t>
            </w:r>
            <w:r w:rsidR="000E40C5">
              <w:rPr>
                <w:sz w:val="21"/>
                <w:szCs w:val="21"/>
              </w:rPr>
              <w:t>Bruno</w:t>
            </w:r>
            <w:r>
              <w:rPr>
                <w:sz w:val="21"/>
                <w:szCs w:val="21"/>
              </w:rPr>
              <w:t xml:space="preserve"> S</w:t>
            </w:r>
            <w:r w:rsidR="000E40C5">
              <w:rPr>
                <w:sz w:val="21"/>
                <w:szCs w:val="21"/>
              </w:rPr>
              <w:t>a</w:t>
            </w:r>
            <w:r>
              <w:rPr>
                <w:sz w:val="21"/>
                <w:szCs w:val="21"/>
              </w:rPr>
              <w:t>lomon</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9F21CB5" w:rsidR="00BC6327" w:rsidRPr="00412B2F" w:rsidRDefault="000E40C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Bruno Salomon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C85A9BF" w:rsidR="00BC6327" w:rsidRPr="000E40C5" w:rsidRDefault="000E40C5" w:rsidP="00C338CA">
            <w:pPr>
              <w:pStyle w:val="BodyText3"/>
              <w:pBdr>
                <w:top w:val="none" w:sz="0" w:space="0" w:color="auto"/>
                <w:left w:val="none" w:sz="0" w:space="0" w:color="auto"/>
                <w:bottom w:val="none" w:sz="0" w:space="0" w:color="auto"/>
                <w:right w:val="none" w:sz="0" w:space="0" w:color="auto"/>
              </w:pBdr>
              <w:spacing w:before="60" w:after="120"/>
              <w:ind w:left="-90"/>
              <w:rPr>
                <w:color w:val="000000" w:themeColor="text1"/>
                <w:sz w:val="20"/>
              </w:rPr>
            </w:pPr>
            <w:r w:rsidRPr="000E40C5">
              <w:rPr>
                <w:rFonts w:ascii="Verdana" w:hAnsi="Verdana"/>
                <w:caps/>
                <w:color w:val="000000" w:themeColor="text1"/>
                <w:sz w:val="20"/>
              </w:rPr>
              <w:t>(661) 349 5002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E09523E" w14:textId="77777777" w:rsidR="0047416A" w:rsidRPr="001F3468" w:rsidRDefault="0047416A" w:rsidP="0047416A">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C8C81D2" w:rsidR="00BC6327" w:rsidRPr="00A44246" w:rsidRDefault="00BC6327" w:rsidP="00F01B42">
      <w:pPr>
        <w:spacing w:after="120"/>
        <w:jc w:val="both"/>
        <w:rPr>
          <w:sz w:val="22"/>
          <w:szCs w:val="22"/>
        </w:rPr>
      </w:pPr>
      <w:r w:rsidRPr="0012764D">
        <w:rPr>
          <w:b/>
          <w:sz w:val="22"/>
          <w:szCs w:val="22"/>
        </w:rPr>
        <w:t>Tables 1</w:t>
      </w:r>
      <w:r w:rsidR="0047416A">
        <w:rPr>
          <w:b/>
          <w:sz w:val="22"/>
          <w:szCs w:val="22"/>
        </w:rPr>
        <w:t xml:space="preserve"> and </w:t>
      </w:r>
      <w:r w:rsidRPr="0012764D">
        <w:rPr>
          <w:b/>
          <w:sz w:val="22"/>
          <w:szCs w:val="22"/>
        </w:rPr>
        <w:t>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2CB8730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E40C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7CEEAF7" w:rsidR="00B44817" w:rsidRPr="00F41F91" w:rsidRDefault="004B3B09" w:rsidP="00D057C3">
            <w:pPr>
              <w:jc w:val="center"/>
              <w:rPr>
                <w:sz w:val="18"/>
              </w:rPr>
            </w:pPr>
            <w:r>
              <w:rPr>
                <w:sz w:val="18"/>
              </w:rPr>
              <w:t>9/30/22</w:t>
            </w:r>
          </w:p>
        </w:tc>
        <w:tc>
          <w:tcPr>
            <w:tcW w:w="991" w:type="dxa"/>
            <w:tcBorders>
              <w:top w:val="nil"/>
            </w:tcBorders>
          </w:tcPr>
          <w:p w14:paraId="2EB76238" w14:textId="57E29EAD" w:rsidR="00B44817" w:rsidRPr="00F41F91" w:rsidRDefault="004B3B09" w:rsidP="00D057C3">
            <w:pPr>
              <w:jc w:val="center"/>
              <w:rPr>
                <w:sz w:val="18"/>
              </w:rPr>
            </w:pPr>
            <w:r>
              <w:rPr>
                <w:sz w:val="18"/>
              </w:rPr>
              <w:t>5</w:t>
            </w:r>
          </w:p>
        </w:tc>
        <w:tc>
          <w:tcPr>
            <w:tcW w:w="990" w:type="dxa"/>
            <w:tcBorders>
              <w:top w:val="nil"/>
              <w:bottom w:val="nil"/>
            </w:tcBorders>
          </w:tcPr>
          <w:p w14:paraId="4C3FDB54" w14:textId="4D76F465" w:rsidR="00B44817" w:rsidRPr="00F41F91" w:rsidRDefault="004B3B09" w:rsidP="00D057C3">
            <w:pPr>
              <w:jc w:val="center"/>
              <w:rPr>
                <w:sz w:val="18"/>
              </w:rPr>
            </w:pPr>
            <w:r>
              <w:rPr>
                <w:sz w:val="18"/>
              </w:rPr>
              <w:t>&lt;1.1</w:t>
            </w:r>
          </w:p>
        </w:tc>
        <w:tc>
          <w:tcPr>
            <w:tcW w:w="1080" w:type="dxa"/>
            <w:tcBorders>
              <w:top w:val="nil"/>
              <w:bottom w:val="nil"/>
            </w:tcBorders>
          </w:tcPr>
          <w:p w14:paraId="48CE0F50" w14:textId="49573851" w:rsidR="00B44817" w:rsidRPr="00F41F91" w:rsidRDefault="004B3B0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9E8113E" w:rsidR="00B44817" w:rsidRPr="00F41F91" w:rsidRDefault="004B3B09"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5C482C91" w:rsidR="00B44817" w:rsidRPr="00F41F91" w:rsidRDefault="004B3B09" w:rsidP="00D057C3">
            <w:pPr>
              <w:jc w:val="center"/>
              <w:rPr>
                <w:sz w:val="18"/>
              </w:rPr>
            </w:pPr>
            <w:r>
              <w:rPr>
                <w:sz w:val="18"/>
              </w:rPr>
              <w:t>9/30/22</w:t>
            </w:r>
          </w:p>
        </w:tc>
        <w:tc>
          <w:tcPr>
            <w:tcW w:w="991" w:type="dxa"/>
            <w:tcBorders>
              <w:bottom w:val="single" w:sz="18" w:space="0" w:color="auto"/>
            </w:tcBorders>
          </w:tcPr>
          <w:p w14:paraId="18011756" w14:textId="2BEE312F" w:rsidR="00B44817" w:rsidRPr="00F41F91" w:rsidRDefault="004B3B09" w:rsidP="00D057C3">
            <w:pPr>
              <w:jc w:val="center"/>
              <w:rPr>
                <w:sz w:val="18"/>
              </w:rPr>
            </w:pPr>
            <w:r>
              <w:rPr>
                <w:sz w:val="18"/>
              </w:rPr>
              <w:t>5</w:t>
            </w:r>
          </w:p>
        </w:tc>
        <w:tc>
          <w:tcPr>
            <w:tcW w:w="990" w:type="dxa"/>
            <w:tcBorders>
              <w:bottom w:val="single" w:sz="18" w:space="0" w:color="auto"/>
            </w:tcBorders>
          </w:tcPr>
          <w:p w14:paraId="7CE90126" w14:textId="0E1B534C" w:rsidR="00B44817" w:rsidRPr="00F41F91" w:rsidRDefault="004B3B09" w:rsidP="00D057C3">
            <w:pPr>
              <w:jc w:val="center"/>
              <w:rPr>
                <w:sz w:val="18"/>
              </w:rPr>
            </w:pPr>
            <w:r>
              <w:rPr>
                <w:sz w:val="18"/>
              </w:rPr>
              <w:t>0.027</w:t>
            </w:r>
          </w:p>
        </w:tc>
        <w:tc>
          <w:tcPr>
            <w:tcW w:w="1080" w:type="dxa"/>
            <w:tcBorders>
              <w:bottom w:val="single" w:sz="18" w:space="0" w:color="auto"/>
            </w:tcBorders>
          </w:tcPr>
          <w:p w14:paraId="11DE16E1" w14:textId="32184DA0" w:rsidR="00B44817" w:rsidRPr="00F41F91" w:rsidRDefault="004B3B0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5A36AD78"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47416A">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21DB03CB"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8FDE7C2" w:rsidR="00227914" w:rsidRPr="00F41F91" w:rsidRDefault="00336D65" w:rsidP="00227914">
            <w:pPr>
              <w:jc w:val="center"/>
              <w:rPr>
                <w:sz w:val="18"/>
              </w:rPr>
            </w:pPr>
            <w:r>
              <w:rPr>
                <w:sz w:val="18"/>
              </w:rPr>
              <w:t>11/14/23</w:t>
            </w:r>
          </w:p>
        </w:tc>
        <w:tc>
          <w:tcPr>
            <w:tcW w:w="1350" w:type="dxa"/>
            <w:tcBorders>
              <w:top w:val="nil"/>
            </w:tcBorders>
          </w:tcPr>
          <w:p w14:paraId="492AEBB3" w14:textId="6CB4E741" w:rsidR="00227914" w:rsidRPr="00F41F91" w:rsidRDefault="00336D65" w:rsidP="00227914">
            <w:pPr>
              <w:jc w:val="center"/>
              <w:rPr>
                <w:sz w:val="18"/>
              </w:rPr>
            </w:pPr>
            <w:r>
              <w:rPr>
                <w:sz w:val="18"/>
              </w:rPr>
              <w:t>3.3</w:t>
            </w:r>
          </w:p>
        </w:tc>
        <w:tc>
          <w:tcPr>
            <w:tcW w:w="1440" w:type="dxa"/>
            <w:tcBorders>
              <w:top w:val="nil"/>
            </w:tcBorders>
          </w:tcPr>
          <w:p w14:paraId="0EA1207A" w14:textId="7B8BDCF0" w:rsidR="00227914" w:rsidRPr="00F41F91" w:rsidRDefault="00336D65" w:rsidP="00227914">
            <w:pPr>
              <w:jc w:val="center"/>
              <w:rPr>
                <w:sz w:val="18"/>
              </w:rPr>
            </w:pPr>
            <w:r>
              <w:rPr>
                <w:sz w:val="18"/>
              </w:rPr>
              <w:t>3.3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5BFB600F" w:rsidR="00227914" w:rsidRPr="00F41F91" w:rsidRDefault="000E40C5" w:rsidP="00227914">
            <w:pPr>
              <w:ind w:left="180"/>
              <w:rPr>
                <w:sz w:val="18"/>
              </w:rPr>
            </w:pPr>
            <w:r>
              <w:rPr>
                <w:sz w:val="18"/>
              </w:rPr>
              <w:t>*</w:t>
            </w:r>
            <w:r w:rsidR="00227914">
              <w:rPr>
                <w:sz w:val="18"/>
              </w:rPr>
              <w:t>Arsenic</w:t>
            </w:r>
          </w:p>
        </w:tc>
        <w:tc>
          <w:tcPr>
            <w:tcW w:w="990" w:type="dxa"/>
            <w:tcBorders>
              <w:top w:val="nil"/>
            </w:tcBorders>
          </w:tcPr>
          <w:p w14:paraId="650AA279" w14:textId="030AD069" w:rsidR="00227914" w:rsidRPr="00F41F91" w:rsidRDefault="000E40C5" w:rsidP="00227914">
            <w:pPr>
              <w:jc w:val="center"/>
              <w:rPr>
                <w:sz w:val="18"/>
              </w:rPr>
            </w:pPr>
            <w:r>
              <w:rPr>
                <w:sz w:val="18"/>
              </w:rPr>
              <w:t>202</w:t>
            </w:r>
            <w:r w:rsidR="00336D65">
              <w:rPr>
                <w:sz w:val="18"/>
              </w:rPr>
              <w:t>3</w:t>
            </w:r>
          </w:p>
        </w:tc>
        <w:tc>
          <w:tcPr>
            <w:tcW w:w="1350" w:type="dxa"/>
            <w:tcBorders>
              <w:top w:val="nil"/>
            </w:tcBorders>
          </w:tcPr>
          <w:p w14:paraId="6407ED2C" w14:textId="3B23731B" w:rsidR="00227914" w:rsidRPr="00F41F91" w:rsidRDefault="00336D65" w:rsidP="00227914">
            <w:pPr>
              <w:jc w:val="center"/>
              <w:rPr>
                <w:sz w:val="18"/>
              </w:rPr>
            </w:pPr>
            <w:r>
              <w:rPr>
                <w:sz w:val="18"/>
              </w:rPr>
              <w:t>5.97</w:t>
            </w:r>
          </w:p>
        </w:tc>
        <w:tc>
          <w:tcPr>
            <w:tcW w:w="1440" w:type="dxa"/>
            <w:tcBorders>
              <w:top w:val="nil"/>
            </w:tcBorders>
          </w:tcPr>
          <w:p w14:paraId="1F229C6F" w14:textId="0B16CBB1" w:rsidR="00227914" w:rsidRPr="00F41F91" w:rsidRDefault="00336D65" w:rsidP="00227914">
            <w:pPr>
              <w:jc w:val="center"/>
              <w:rPr>
                <w:sz w:val="18"/>
              </w:rPr>
            </w:pPr>
            <w:r>
              <w:rPr>
                <w:sz w:val="18"/>
              </w:rPr>
              <w:t>0.0 – 9.0</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3BBE6BD3" w:rsidR="00227914" w:rsidRPr="00F41F91" w:rsidRDefault="00445175" w:rsidP="00227914">
            <w:pPr>
              <w:jc w:val="center"/>
              <w:rPr>
                <w:sz w:val="18"/>
              </w:rPr>
            </w:pPr>
            <w:r>
              <w:rPr>
                <w:sz w:val="18"/>
              </w:rPr>
              <w:t>12/13/22</w:t>
            </w:r>
          </w:p>
        </w:tc>
        <w:tc>
          <w:tcPr>
            <w:tcW w:w="1350" w:type="dxa"/>
            <w:tcBorders>
              <w:top w:val="nil"/>
            </w:tcBorders>
          </w:tcPr>
          <w:p w14:paraId="60E1D7F0" w14:textId="3FB9E4FB" w:rsidR="00227914" w:rsidRPr="00F41F91" w:rsidRDefault="00445175" w:rsidP="00227914">
            <w:pPr>
              <w:jc w:val="center"/>
              <w:rPr>
                <w:sz w:val="18"/>
              </w:rPr>
            </w:pPr>
            <w:r>
              <w:rPr>
                <w:sz w:val="18"/>
              </w:rPr>
              <w:t>.032</w:t>
            </w:r>
          </w:p>
        </w:tc>
        <w:tc>
          <w:tcPr>
            <w:tcW w:w="1440" w:type="dxa"/>
            <w:tcBorders>
              <w:top w:val="nil"/>
            </w:tcBorders>
          </w:tcPr>
          <w:p w14:paraId="53260E31" w14:textId="7331C6EA" w:rsidR="00227914" w:rsidRPr="00F41F91" w:rsidRDefault="00445175" w:rsidP="00227914">
            <w:pPr>
              <w:jc w:val="center"/>
              <w:rPr>
                <w:sz w:val="18"/>
              </w:rPr>
            </w:pPr>
            <w:r>
              <w:rPr>
                <w:sz w:val="18"/>
              </w:rPr>
              <w:t>0.032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6A6C2D18" w:rsidR="00227914" w:rsidRPr="00F41F91" w:rsidRDefault="00445175" w:rsidP="00227914">
            <w:pPr>
              <w:jc w:val="center"/>
              <w:rPr>
                <w:sz w:val="18"/>
              </w:rPr>
            </w:pPr>
            <w:r>
              <w:rPr>
                <w:sz w:val="18"/>
              </w:rPr>
              <w:t>12/13/22</w:t>
            </w:r>
          </w:p>
        </w:tc>
        <w:tc>
          <w:tcPr>
            <w:tcW w:w="1350" w:type="dxa"/>
            <w:tcBorders>
              <w:top w:val="nil"/>
            </w:tcBorders>
          </w:tcPr>
          <w:p w14:paraId="0885F200" w14:textId="020B10CA" w:rsidR="00227914" w:rsidRPr="00F41F91" w:rsidRDefault="00445175" w:rsidP="00227914">
            <w:pPr>
              <w:jc w:val="center"/>
              <w:rPr>
                <w:sz w:val="18"/>
              </w:rPr>
            </w:pPr>
            <w:r>
              <w:rPr>
                <w:sz w:val="18"/>
              </w:rPr>
              <w:t>0.74</w:t>
            </w:r>
          </w:p>
        </w:tc>
        <w:tc>
          <w:tcPr>
            <w:tcW w:w="1440" w:type="dxa"/>
            <w:tcBorders>
              <w:top w:val="nil"/>
            </w:tcBorders>
          </w:tcPr>
          <w:p w14:paraId="15A19D07" w14:textId="3E7B6778" w:rsidR="00227914" w:rsidRPr="00F41F91" w:rsidRDefault="00445175" w:rsidP="00227914">
            <w:pPr>
              <w:jc w:val="center"/>
              <w:rPr>
                <w:sz w:val="18"/>
              </w:rPr>
            </w:pPr>
            <w:r>
              <w:rPr>
                <w:sz w:val="18"/>
              </w:rPr>
              <w:t>0.74</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0A79A6D1" w:rsidR="00227914" w:rsidRPr="00F41F91" w:rsidRDefault="00445175" w:rsidP="00227914">
            <w:pPr>
              <w:jc w:val="center"/>
              <w:rPr>
                <w:sz w:val="18"/>
              </w:rPr>
            </w:pPr>
            <w:r>
              <w:rPr>
                <w:sz w:val="18"/>
              </w:rPr>
              <w:t>2/5/20</w:t>
            </w:r>
          </w:p>
        </w:tc>
        <w:tc>
          <w:tcPr>
            <w:tcW w:w="1350" w:type="dxa"/>
            <w:tcBorders>
              <w:top w:val="nil"/>
            </w:tcBorders>
          </w:tcPr>
          <w:p w14:paraId="05A2419E" w14:textId="602F2D3D" w:rsidR="00227914" w:rsidRPr="00F41F91" w:rsidRDefault="00445175" w:rsidP="00227914">
            <w:pPr>
              <w:jc w:val="center"/>
              <w:rPr>
                <w:sz w:val="18"/>
              </w:rPr>
            </w:pPr>
            <w:r>
              <w:rPr>
                <w:sz w:val="18"/>
              </w:rPr>
              <w:t>2.89</w:t>
            </w:r>
          </w:p>
        </w:tc>
        <w:tc>
          <w:tcPr>
            <w:tcW w:w="1440" w:type="dxa"/>
            <w:tcBorders>
              <w:top w:val="nil"/>
            </w:tcBorders>
          </w:tcPr>
          <w:p w14:paraId="3CBC0F2F" w14:textId="04FDD64F" w:rsidR="00227914" w:rsidRPr="00F41F91" w:rsidRDefault="00445175" w:rsidP="00227914">
            <w:pPr>
              <w:jc w:val="center"/>
              <w:rPr>
                <w:sz w:val="18"/>
              </w:rPr>
            </w:pPr>
            <w:r>
              <w:rPr>
                <w:sz w:val="18"/>
              </w:rPr>
              <w:t>2.89</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tcBorders>
              <w:top w:val="nil"/>
              <w:left w:val="single" w:sz="6" w:space="0" w:color="auto"/>
            </w:tcBorders>
          </w:tcPr>
          <w:p w14:paraId="2AE0D29A" w14:textId="043C3D34" w:rsidR="00227914" w:rsidRPr="00F41F91" w:rsidRDefault="00445175" w:rsidP="00D057C3">
            <w:pPr>
              <w:ind w:left="180"/>
              <w:rPr>
                <w:sz w:val="18"/>
              </w:rPr>
            </w:pPr>
            <w:r>
              <w:rPr>
                <w:sz w:val="18"/>
              </w:rPr>
              <w:lastRenderedPageBreak/>
              <w:t>Uranium</w:t>
            </w:r>
          </w:p>
        </w:tc>
        <w:tc>
          <w:tcPr>
            <w:tcW w:w="990" w:type="dxa"/>
            <w:tcBorders>
              <w:top w:val="nil"/>
            </w:tcBorders>
          </w:tcPr>
          <w:p w14:paraId="0DFC1C10" w14:textId="300F9D65" w:rsidR="00227914" w:rsidRPr="00F41F91" w:rsidRDefault="00445175" w:rsidP="00D057C3">
            <w:pPr>
              <w:jc w:val="center"/>
              <w:rPr>
                <w:sz w:val="18"/>
              </w:rPr>
            </w:pPr>
            <w:r>
              <w:rPr>
                <w:sz w:val="18"/>
              </w:rPr>
              <w:t>12/13/22</w:t>
            </w:r>
          </w:p>
        </w:tc>
        <w:tc>
          <w:tcPr>
            <w:tcW w:w="1350" w:type="dxa"/>
            <w:tcBorders>
              <w:top w:val="nil"/>
            </w:tcBorders>
          </w:tcPr>
          <w:p w14:paraId="1BCD5B8B" w14:textId="5D2F0D1D" w:rsidR="00227914" w:rsidRPr="00F41F91" w:rsidRDefault="00445175" w:rsidP="00D057C3">
            <w:pPr>
              <w:jc w:val="center"/>
              <w:rPr>
                <w:sz w:val="18"/>
              </w:rPr>
            </w:pPr>
            <w:r>
              <w:rPr>
                <w:sz w:val="18"/>
              </w:rPr>
              <w:t>4.6</w:t>
            </w:r>
          </w:p>
        </w:tc>
        <w:tc>
          <w:tcPr>
            <w:tcW w:w="1440" w:type="dxa"/>
            <w:tcBorders>
              <w:top w:val="nil"/>
            </w:tcBorders>
          </w:tcPr>
          <w:p w14:paraId="303DB325" w14:textId="569A4A6C" w:rsidR="00227914" w:rsidRPr="00F41F91" w:rsidRDefault="00445175" w:rsidP="00D057C3">
            <w:pPr>
              <w:jc w:val="center"/>
              <w:rPr>
                <w:sz w:val="18"/>
              </w:rPr>
            </w:pPr>
            <w:r>
              <w:rPr>
                <w:sz w:val="18"/>
              </w:rPr>
              <w:t>4.6</w:t>
            </w:r>
          </w:p>
        </w:tc>
        <w:tc>
          <w:tcPr>
            <w:tcW w:w="900" w:type="dxa"/>
            <w:tcBorders>
              <w:top w:val="nil"/>
            </w:tcBorders>
          </w:tcPr>
          <w:p w14:paraId="4A0E6F81" w14:textId="3D0C8B47" w:rsidR="00227914" w:rsidRPr="00F41F91" w:rsidRDefault="006D30D8" w:rsidP="00D057C3">
            <w:pPr>
              <w:jc w:val="center"/>
              <w:rPr>
                <w:sz w:val="18"/>
              </w:rPr>
            </w:pPr>
            <w:r>
              <w:rPr>
                <w:sz w:val="18"/>
              </w:rPr>
              <w:t xml:space="preserve">20 </w:t>
            </w:r>
          </w:p>
        </w:tc>
        <w:tc>
          <w:tcPr>
            <w:tcW w:w="1080" w:type="dxa"/>
            <w:tcBorders>
              <w:top w:val="nil"/>
            </w:tcBorders>
          </w:tcPr>
          <w:p w14:paraId="26D87245" w14:textId="0399717A" w:rsidR="00227914" w:rsidRPr="00F41F91" w:rsidRDefault="006D30D8" w:rsidP="00D057C3">
            <w:pPr>
              <w:jc w:val="center"/>
              <w:rPr>
                <w:sz w:val="18"/>
              </w:rPr>
            </w:pPr>
            <w:r>
              <w:rPr>
                <w:sz w:val="18"/>
              </w:rPr>
              <w:t>0.43</w:t>
            </w:r>
          </w:p>
        </w:tc>
        <w:tc>
          <w:tcPr>
            <w:tcW w:w="2808" w:type="dxa"/>
            <w:tcBorders>
              <w:top w:val="nil"/>
              <w:right w:val="single" w:sz="6" w:space="0" w:color="auto"/>
            </w:tcBorders>
          </w:tcPr>
          <w:p w14:paraId="58A482B4" w14:textId="3D2DFD6A" w:rsidR="00227914" w:rsidRPr="00F41F91" w:rsidRDefault="006D30D8" w:rsidP="00D057C3">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1BAA6C7" w:rsidR="00227914" w:rsidRPr="00F41F91" w:rsidRDefault="00445175" w:rsidP="00227914">
            <w:pPr>
              <w:jc w:val="center"/>
              <w:rPr>
                <w:sz w:val="18"/>
              </w:rPr>
            </w:pPr>
            <w:r>
              <w:rPr>
                <w:sz w:val="18"/>
              </w:rPr>
              <w:t>202</w:t>
            </w:r>
            <w:r w:rsidR="00336D65">
              <w:rPr>
                <w:sz w:val="18"/>
              </w:rPr>
              <w:t>3</w:t>
            </w:r>
          </w:p>
        </w:tc>
        <w:tc>
          <w:tcPr>
            <w:tcW w:w="1350" w:type="dxa"/>
            <w:tcBorders>
              <w:bottom w:val="single" w:sz="18" w:space="0" w:color="auto"/>
            </w:tcBorders>
          </w:tcPr>
          <w:p w14:paraId="5EA66A78" w14:textId="5DBEA3C8" w:rsidR="00227914" w:rsidRPr="00F41F91" w:rsidRDefault="006731C4" w:rsidP="00227914">
            <w:pPr>
              <w:jc w:val="center"/>
              <w:rPr>
                <w:sz w:val="18"/>
              </w:rPr>
            </w:pPr>
            <w:r>
              <w:rPr>
                <w:sz w:val="18"/>
              </w:rPr>
              <w:t>0.</w:t>
            </w:r>
            <w:r w:rsidR="00336D65">
              <w:rPr>
                <w:sz w:val="18"/>
              </w:rPr>
              <w:t>28</w:t>
            </w:r>
          </w:p>
        </w:tc>
        <w:tc>
          <w:tcPr>
            <w:tcW w:w="1440" w:type="dxa"/>
            <w:tcBorders>
              <w:bottom w:val="single" w:sz="18" w:space="0" w:color="auto"/>
            </w:tcBorders>
          </w:tcPr>
          <w:p w14:paraId="314F6572" w14:textId="01980E39" w:rsidR="00227914" w:rsidRPr="00F41F91" w:rsidRDefault="006731C4" w:rsidP="00227914">
            <w:pPr>
              <w:jc w:val="center"/>
              <w:rPr>
                <w:sz w:val="18"/>
              </w:rPr>
            </w:pPr>
            <w:r>
              <w:rPr>
                <w:sz w:val="18"/>
              </w:rPr>
              <w:t>0.</w:t>
            </w:r>
            <w:r w:rsidR="00B6522C">
              <w:rPr>
                <w:sz w:val="18"/>
              </w:rPr>
              <w:t>19</w:t>
            </w:r>
            <w:r>
              <w:rPr>
                <w:sz w:val="18"/>
              </w:rPr>
              <w:t xml:space="preserve"> – 0.6</w:t>
            </w:r>
            <w:r w:rsidR="00B6522C">
              <w:rPr>
                <w:sz w:val="18"/>
              </w:rPr>
              <w:t>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B8D069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47416A">
        <w:rPr>
          <w:rFonts w:ascii="Times New Roman" w:hAnsi="Times New Roman"/>
          <w:b/>
          <w:i/>
          <w:u w:val="single"/>
        </w:rPr>
        <w:t xml:space="preserve">National Cement Company Water </w:t>
      </w:r>
      <w:proofErr w:type="spellStart"/>
      <w:r w:rsidR="0047416A">
        <w:rPr>
          <w:rFonts w:ascii="Times New Roman" w:hAnsi="Times New Roman"/>
          <w:b/>
          <w:i/>
          <w:u w:val="single"/>
        </w:rPr>
        <w:t>System</w:t>
      </w:r>
      <w:r w:rsidRPr="001F3468">
        <w:rPr>
          <w:rFonts w:ascii="Times New Roman" w:hAnsi="Times New Roman"/>
        </w:rPr>
        <w:t>is</w:t>
      </w:r>
      <w:proofErr w:type="spell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980"/>
        <w:gridCol w:w="1080"/>
        <w:gridCol w:w="2790"/>
        <w:gridCol w:w="351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6D30D8">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79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51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6D30D8">
        <w:trPr>
          <w:trHeight w:val="504"/>
        </w:trPr>
        <w:tc>
          <w:tcPr>
            <w:tcW w:w="1440" w:type="dxa"/>
            <w:tcBorders>
              <w:top w:val="double" w:sz="6" w:space="0" w:color="auto"/>
              <w:bottom w:val="single" w:sz="4" w:space="0" w:color="auto"/>
            </w:tcBorders>
            <w:shd w:val="clear" w:color="auto" w:fill="auto"/>
          </w:tcPr>
          <w:p w14:paraId="29967769" w14:textId="1E8DC058" w:rsidR="00803861" w:rsidRPr="006D30D8" w:rsidRDefault="006D30D8" w:rsidP="00AC41BE">
            <w:pPr>
              <w:pStyle w:val="BodyText"/>
              <w:spacing w:before="0"/>
              <w:jc w:val="left"/>
              <w:rPr>
                <w:rFonts w:ascii="Times New Roman" w:hAnsi="Times New Roman"/>
                <w:bCs/>
                <w:sz w:val="20"/>
              </w:rPr>
            </w:pPr>
            <w:r w:rsidRPr="006D30D8">
              <w:rPr>
                <w:rFonts w:ascii="Times New Roman" w:hAnsi="Times New Roman"/>
                <w:bCs/>
                <w:sz w:val="20"/>
              </w:rPr>
              <w:t>Arsenic MCL</w:t>
            </w:r>
          </w:p>
        </w:tc>
        <w:tc>
          <w:tcPr>
            <w:tcW w:w="1980" w:type="dxa"/>
            <w:tcBorders>
              <w:top w:val="double" w:sz="6" w:space="0" w:color="auto"/>
              <w:bottom w:val="single" w:sz="4" w:space="0" w:color="auto"/>
            </w:tcBorders>
            <w:shd w:val="clear" w:color="auto" w:fill="auto"/>
          </w:tcPr>
          <w:p w14:paraId="0C6FD2A3" w14:textId="5A146368" w:rsidR="00803861" w:rsidRPr="006D30D8" w:rsidRDefault="006D30D8" w:rsidP="00AC41BE">
            <w:pPr>
              <w:pStyle w:val="BodyText"/>
              <w:spacing w:before="0"/>
              <w:jc w:val="left"/>
              <w:rPr>
                <w:rFonts w:ascii="Times New Roman" w:hAnsi="Times New Roman"/>
                <w:bCs/>
                <w:sz w:val="20"/>
              </w:rPr>
            </w:pPr>
            <w:r>
              <w:rPr>
                <w:rFonts w:ascii="Times New Roman" w:hAnsi="Times New Roman"/>
                <w:bCs/>
                <w:sz w:val="20"/>
              </w:rPr>
              <w:t>The w</w:t>
            </w:r>
            <w:r w:rsidRPr="006D30D8">
              <w:rPr>
                <w:rFonts w:ascii="Times New Roman" w:hAnsi="Times New Roman"/>
                <w:bCs/>
                <w:sz w:val="20"/>
              </w:rPr>
              <w:t>ell is high in Arsenic</w:t>
            </w:r>
          </w:p>
        </w:tc>
        <w:tc>
          <w:tcPr>
            <w:tcW w:w="1080" w:type="dxa"/>
            <w:tcBorders>
              <w:top w:val="double" w:sz="6" w:space="0" w:color="auto"/>
              <w:bottom w:val="single" w:sz="4" w:space="0" w:color="auto"/>
            </w:tcBorders>
            <w:shd w:val="clear" w:color="auto" w:fill="auto"/>
          </w:tcPr>
          <w:p w14:paraId="38F06260" w14:textId="7628C4A6" w:rsidR="00803861" w:rsidRPr="006D30D8" w:rsidRDefault="006D30D8" w:rsidP="00AC41BE">
            <w:pPr>
              <w:pStyle w:val="BodyText"/>
              <w:spacing w:before="0"/>
              <w:jc w:val="left"/>
              <w:rPr>
                <w:rFonts w:ascii="Times New Roman" w:hAnsi="Times New Roman"/>
                <w:bCs/>
                <w:sz w:val="20"/>
              </w:rPr>
            </w:pPr>
            <w:r>
              <w:rPr>
                <w:rFonts w:ascii="Times New Roman" w:hAnsi="Times New Roman"/>
                <w:bCs/>
                <w:sz w:val="20"/>
              </w:rPr>
              <w:t>On Going</w:t>
            </w:r>
          </w:p>
        </w:tc>
        <w:tc>
          <w:tcPr>
            <w:tcW w:w="2790" w:type="dxa"/>
            <w:tcBorders>
              <w:top w:val="double" w:sz="6" w:space="0" w:color="auto"/>
              <w:bottom w:val="single" w:sz="4" w:space="0" w:color="auto"/>
            </w:tcBorders>
            <w:shd w:val="clear" w:color="auto" w:fill="auto"/>
          </w:tcPr>
          <w:p w14:paraId="10C37C52" w14:textId="61B339BD" w:rsidR="006D30D8" w:rsidRPr="006D30D8" w:rsidRDefault="006D30D8" w:rsidP="00AC41BE">
            <w:pPr>
              <w:pStyle w:val="BodyText"/>
              <w:spacing w:before="0"/>
              <w:jc w:val="left"/>
              <w:rPr>
                <w:rFonts w:ascii="Times New Roman" w:hAnsi="Times New Roman"/>
                <w:bCs/>
                <w:sz w:val="20"/>
              </w:rPr>
            </w:pPr>
            <w:r w:rsidRPr="006D30D8">
              <w:rPr>
                <w:rFonts w:ascii="Times New Roman" w:hAnsi="Times New Roman"/>
                <w:bCs/>
                <w:sz w:val="20"/>
              </w:rPr>
              <w:t>Arsenic removal system in place.</w:t>
            </w:r>
          </w:p>
          <w:p w14:paraId="78FAC853" w14:textId="67D0F5A7" w:rsidR="006D30D8" w:rsidRPr="006D30D8" w:rsidRDefault="006D30D8" w:rsidP="00AC41BE">
            <w:pPr>
              <w:pStyle w:val="BodyText"/>
              <w:spacing w:before="0"/>
              <w:jc w:val="left"/>
              <w:rPr>
                <w:rFonts w:ascii="Times New Roman" w:hAnsi="Times New Roman"/>
                <w:bCs/>
                <w:sz w:val="26"/>
              </w:rPr>
            </w:pPr>
            <w:r w:rsidRPr="006D30D8">
              <w:rPr>
                <w:rFonts w:ascii="Times New Roman" w:hAnsi="Times New Roman"/>
                <w:bCs/>
                <w:sz w:val="20"/>
              </w:rPr>
              <w:t>The water serving the system is below the MCL. Units sampled monthly</w:t>
            </w:r>
          </w:p>
        </w:tc>
        <w:tc>
          <w:tcPr>
            <w:tcW w:w="3510" w:type="dxa"/>
            <w:tcBorders>
              <w:top w:val="double" w:sz="6" w:space="0" w:color="auto"/>
              <w:bottom w:val="single" w:sz="4" w:space="0" w:color="auto"/>
            </w:tcBorders>
            <w:shd w:val="clear" w:color="auto" w:fill="auto"/>
          </w:tcPr>
          <w:p w14:paraId="47E414FC" w14:textId="772ED3BD" w:rsidR="00803861" w:rsidRPr="006D30D8" w:rsidRDefault="006D30D8" w:rsidP="00AC41BE">
            <w:pPr>
              <w:pStyle w:val="BodyText"/>
              <w:spacing w:before="0"/>
              <w:jc w:val="left"/>
              <w:rPr>
                <w:rFonts w:ascii="Times New Roman" w:hAnsi="Times New Roman"/>
                <w:bCs/>
                <w:sz w:val="20"/>
              </w:rPr>
            </w:pPr>
            <w:r>
              <w:rPr>
                <w:rFonts w:ascii="Times New Roman" w:hAnsi="Times New Roman"/>
                <w:bCs/>
                <w:sz w:val="20"/>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0C42DD99"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8876670">
    <w:abstractNumId w:val="2"/>
  </w:num>
  <w:num w:numId="2" w16cid:durableId="769667813">
    <w:abstractNumId w:val="0"/>
  </w:num>
  <w:num w:numId="3" w16cid:durableId="114065774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40C5"/>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613E"/>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36D65"/>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3451"/>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5175"/>
    <w:rsid w:val="00446969"/>
    <w:rsid w:val="0045424E"/>
    <w:rsid w:val="00462FEB"/>
    <w:rsid w:val="00470811"/>
    <w:rsid w:val="0047086C"/>
    <w:rsid w:val="00472D17"/>
    <w:rsid w:val="00473411"/>
    <w:rsid w:val="0047416A"/>
    <w:rsid w:val="004848BB"/>
    <w:rsid w:val="004912AD"/>
    <w:rsid w:val="00492061"/>
    <w:rsid w:val="004A05D8"/>
    <w:rsid w:val="004A07B2"/>
    <w:rsid w:val="004A1ABC"/>
    <w:rsid w:val="004A2077"/>
    <w:rsid w:val="004B3B09"/>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731C4"/>
    <w:rsid w:val="00680846"/>
    <w:rsid w:val="0068272C"/>
    <w:rsid w:val="00691186"/>
    <w:rsid w:val="00695A6F"/>
    <w:rsid w:val="006A04A9"/>
    <w:rsid w:val="006A482B"/>
    <w:rsid w:val="006C2732"/>
    <w:rsid w:val="006C7186"/>
    <w:rsid w:val="006D30D8"/>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522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997"/>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1660</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10924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2024-07-03T20:49:00Z</dcterms:created>
  <dcterms:modified xsi:type="dcterms:W3CDTF">2024-07-03T20:49:00Z</dcterms:modified>
</cp:coreProperties>
</file>