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jc w:val="center"/>
      </w:pPr>
      <w:r>
        <w:rPr>
          <w:shd w:val="clear" w:color="auto" w:fill="ffff00"/>
          <w:rtl w:val="0"/>
        </w:rPr>
        <w:t>2025</w:t>
      </w:r>
      <w:r>
        <w:rPr>
          <w:rtl w:val="0"/>
          <w:lang w:val="fr-FR"/>
        </w:rPr>
        <w:t xml:space="preserve"> Consumer Confidence Report</w:t>
      </w:r>
    </w:p>
    <w:p>
      <w:pPr>
        <w:pStyle w:val="Heading 2"/>
      </w:pPr>
      <w:r>
        <w:rPr>
          <w:rtl w:val="0"/>
          <w:lang w:val="de-DE"/>
        </w:rPr>
        <w:t>Water System Information</w:t>
      </w:r>
    </w:p>
    <w:p>
      <w:pPr>
        <w:pStyle w:val="Body"/>
        <w:spacing w:after="240"/>
        <w:rPr>
          <w:rFonts w:ascii="Arial" w:cs="Arial" w:hAnsi="Arial" w:eastAsia="Arial"/>
          <w:sz w:val="24"/>
          <w:szCs w:val="24"/>
        </w:rPr>
      </w:pPr>
      <w:r>
        <w:rPr>
          <w:rFonts w:ascii="Arial" w:hAnsi="Arial"/>
          <w:sz w:val="24"/>
          <w:szCs w:val="24"/>
          <w:rtl w:val="0"/>
          <w:lang w:val="de-DE"/>
        </w:rPr>
        <w:t xml:space="preserve">Water System Name: </w:t>
      </w:r>
      <w:r>
        <w:rPr>
          <w:rFonts w:ascii="Arial" w:hAnsi="Arial"/>
          <w:sz w:val="24"/>
          <w:szCs w:val="24"/>
          <w:rtl w:val="0"/>
          <w:lang w:val="en-US"/>
        </w:rPr>
        <w:t>Valley Vista Mutual Water Co.</w:t>
      </w:r>
    </w:p>
    <w:p>
      <w:pPr>
        <w:pStyle w:val="Body"/>
        <w:spacing w:after="240"/>
        <w:rPr>
          <w:rFonts w:ascii="Arial" w:cs="Arial" w:hAnsi="Arial" w:eastAsia="Arial"/>
          <w:sz w:val="24"/>
          <w:szCs w:val="24"/>
        </w:rPr>
      </w:pPr>
      <w:r>
        <w:rPr>
          <w:rFonts w:ascii="Arial" w:hAnsi="Arial"/>
          <w:sz w:val="24"/>
          <w:szCs w:val="24"/>
          <w:rtl w:val="0"/>
          <w:lang w:val="de-DE"/>
        </w:rPr>
        <w:t xml:space="preserve">Report Date: </w:t>
      </w:r>
      <w:r>
        <w:rPr>
          <w:rFonts w:ascii="Arial" w:hAnsi="Arial"/>
          <w:sz w:val="24"/>
          <w:szCs w:val="24"/>
          <w:rtl w:val="0"/>
          <w:lang w:val="en-US"/>
        </w:rPr>
        <w:t>6/19/25</w:t>
      </w:r>
    </w:p>
    <w:p>
      <w:pPr>
        <w:pStyle w:val="Body"/>
        <w:spacing w:after="240"/>
        <w:rPr>
          <w:rFonts w:ascii="Arial" w:cs="Arial" w:hAnsi="Arial" w:eastAsia="Arial"/>
          <w:sz w:val="24"/>
          <w:szCs w:val="24"/>
        </w:rPr>
      </w:pPr>
      <w:r>
        <w:rPr>
          <w:rFonts w:ascii="Arial" w:hAnsi="Arial"/>
          <w:sz w:val="24"/>
          <w:szCs w:val="24"/>
          <w:rtl w:val="0"/>
          <w:lang w:val="en-US"/>
        </w:rPr>
        <w:t xml:space="preserve">Type of Water Source(s) in Use: </w:t>
      </w:r>
      <w:r>
        <w:rPr>
          <w:rFonts w:ascii="Arial" w:hAnsi="Arial"/>
          <w:sz w:val="24"/>
          <w:szCs w:val="24"/>
          <w:rtl w:val="0"/>
          <w:lang w:val="en-US"/>
        </w:rPr>
        <w:t>Ground Water</w:t>
      </w:r>
    </w:p>
    <w:p>
      <w:pPr>
        <w:pStyle w:val="Body"/>
        <w:spacing w:after="240"/>
        <w:rPr>
          <w:rFonts w:ascii="Arial" w:cs="Arial" w:hAnsi="Arial" w:eastAsia="Arial"/>
          <w:sz w:val="24"/>
          <w:szCs w:val="24"/>
        </w:rPr>
      </w:pPr>
      <w:r>
        <w:rPr>
          <w:rFonts w:ascii="Arial" w:hAnsi="Arial"/>
          <w:sz w:val="24"/>
          <w:szCs w:val="24"/>
          <w:rtl w:val="0"/>
          <w:lang w:val="en-US"/>
        </w:rPr>
        <w:t xml:space="preserve">Name and General Location of Source(s): </w:t>
      </w:r>
      <w:r>
        <w:rPr>
          <w:rFonts w:ascii="Arial" w:hAnsi="Arial"/>
          <w:sz w:val="24"/>
          <w:szCs w:val="24"/>
          <w:rtl w:val="0"/>
          <w:lang w:val="en-US"/>
        </w:rPr>
        <w:t>Well 006 NW</w:t>
      </w:r>
    </w:p>
    <w:p>
      <w:pPr>
        <w:pStyle w:val="Body"/>
        <w:spacing w:after="240"/>
        <w:rPr>
          <w:rFonts w:ascii="Arial" w:cs="Arial" w:hAnsi="Arial" w:eastAsia="Arial"/>
          <w:sz w:val="24"/>
          <w:szCs w:val="24"/>
        </w:rPr>
      </w:pPr>
      <w:r>
        <w:rPr>
          <w:rFonts w:ascii="Arial" w:hAnsi="Arial"/>
          <w:sz w:val="24"/>
          <w:szCs w:val="24"/>
          <w:rtl w:val="0"/>
          <w:lang w:val="en-US"/>
        </w:rPr>
        <w:t xml:space="preserve">Drinking Water Source Assessment Information: </w:t>
      </w:r>
      <w:r>
        <w:rPr>
          <w:rFonts w:ascii="Arial" w:hAnsi="Arial"/>
          <w:sz w:val="24"/>
          <w:szCs w:val="24"/>
          <w:rtl w:val="0"/>
          <w:lang w:val="en-US"/>
        </w:rPr>
        <w:t>The Source water assessment was completed in</w:t>
      </w:r>
    </w:p>
    <w:p>
      <w:pPr>
        <w:pStyle w:val="Body"/>
        <w:spacing w:after="240"/>
        <w:rPr>
          <w:rFonts w:ascii="Arial" w:cs="Arial" w:hAnsi="Arial" w:eastAsia="Arial"/>
          <w:sz w:val="24"/>
          <w:szCs w:val="24"/>
        </w:rPr>
      </w:pPr>
      <w:r>
        <w:rPr>
          <w:rFonts w:ascii="Arial" w:hAnsi="Arial"/>
          <w:sz w:val="24"/>
          <w:szCs w:val="24"/>
          <w:rtl w:val="0"/>
          <w:lang w:val="en-US"/>
        </w:rPr>
        <w:t>February 2009. The Valley Vista MWC water source is considered to be most vulnerable to the activities associated with nitrate contaminants reported in this CCR: On site septic systems and back yard animal operation within the subdivision. The source is most vulnerable to the following activities not associated with any detected contaminants: Road right of ways and water supply wells. A complete copy of the report is available for review at the Inyo County Environmental Health Services located in Bishop, Ca.</w:t>
      </w:r>
    </w:p>
    <w:p>
      <w:pPr>
        <w:pStyle w:val="Body"/>
        <w:spacing w:after="240"/>
        <w:rPr>
          <w:rFonts w:ascii="Arial" w:cs="Arial" w:hAnsi="Arial" w:eastAsia="Arial"/>
          <w:sz w:val="24"/>
          <w:szCs w:val="24"/>
        </w:rPr>
      </w:pPr>
      <w:r>
        <w:rPr>
          <w:rFonts w:ascii="Arial" w:hAnsi="Arial"/>
          <w:sz w:val="24"/>
          <w:szCs w:val="24"/>
          <w:rtl w:val="0"/>
          <w:lang w:val="en-US"/>
        </w:rPr>
        <w:t xml:space="preserve">Time and Place of Regularly Scheduled Board Meetings for Public Participation: </w:t>
      </w:r>
      <w:r>
        <w:rPr>
          <w:rFonts w:ascii="Arial" w:hAnsi="Arial"/>
          <w:sz w:val="24"/>
          <w:szCs w:val="24"/>
          <w:rtl w:val="0"/>
          <w:lang w:val="en-US"/>
        </w:rPr>
        <w:t>Once annually. Location to be determined prior to the meeting.</w:t>
      </w:r>
    </w:p>
    <w:p>
      <w:pPr>
        <w:pStyle w:val="Body"/>
        <w:rPr>
          <w:rFonts w:ascii="Arial" w:cs="Arial" w:hAnsi="Arial" w:eastAsia="Arial"/>
          <w:sz w:val="24"/>
          <w:szCs w:val="24"/>
        </w:rPr>
      </w:pPr>
      <w:r>
        <w:rPr>
          <w:rFonts w:ascii="Arial" w:hAnsi="Arial"/>
          <w:sz w:val="24"/>
          <w:szCs w:val="24"/>
          <w:rtl w:val="0"/>
          <w:lang w:val="en-US"/>
        </w:rPr>
        <w:t xml:space="preserve">For More Information, Contact: </w:t>
      </w:r>
      <w:r>
        <w:rPr>
          <w:rFonts w:ascii="Arial" w:hAnsi="Arial"/>
          <w:sz w:val="24"/>
          <w:szCs w:val="24"/>
          <w:rtl w:val="0"/>
          <w:lang w:val="en-US"/>
        </w:rPr>
        <w:t>Bradley Wyatt</w:t>
      </w:r>
    </w:p>
    <w:p>
      <w:pPr>
        <w:pStyle w:val="Heading 2"/>
      </w:pPr>
      <w:r>
        <w:rPr>
          <w:rtl w:val="0"/>
          <w:lang w:val="en-US"/>
        </w:rPr>
        <w:t>About This Report</w:t>
      </w:r>
    </w:p>
    <w:p>
      <w:pPr>
        <w:pStyle w:val="Body"/>
        <w:rPr>
          <w:rFonts w:ascii="Arial" w:cs="Arial" w:hAnsi="Arial" w:eastAsia="Arial"/>
          <w:sz w:val="24"/>
          <w:szCs w:val="24"/>
        </w:rPr>
      </w:pPr>
      <w:r>
        <w:rPr>
          <w:rFonts w:ascii="Arial" w:hAnsi="Arial"/>
          <w:sz w:val="24"/>
          <w:szCs w:val="24"/>
          <w:rtl w:val="0"/>
          <w:lang w:val="en-US"/>
        </w:rPr>
        <w:t xml:space="preserve">We test the drinking water quality for many constituents as required by state and federal regulations.  This report shows the results of our monitoring for the period of January 1 to December 31, </w:t>
      </w:r>
      <w:r>
        <w:rPr>
          <w:rFonts w:ascii="Arial" w:hAnsi="Arial"/>
          <w:sz w:val="24"/>
          <w:szCs w:val="24"/>
          <w:shd w:val="clear" w:color="auto" w:fill="ffff00"/>
          <w:rtl w:val="0"/>
        </w:rPr>
        <w:t>2025</w:t>
      </w:r>
      <w:r>
        <w:rPr>
          <w:rFonts w:ascii="Arial" w:hAnsi="Arial"/>
          <w:sz w:val="24"/>
          <w:szCs w:val="24"/>
          <w:rtl w:val="0"/>
          <w:lang w:val="en-US"/>
        </w:rPr>
        <w:t>, and may include earlier monitoring data</w:t>
      </w:r>
      <w:r>
        <w:rPr>
          <w:rFonts w:ascii="Arial" w:hAnsi="Arial"/>
          <w:sz w:val="24"/>
          <w:szCs w:val="24"/>
          <w:rtl w:val="0"/>
          <w:lang w:val="en-US"/>
        </w:rPr>
        <w:t>.</w:t>
      </w:r>
    </w:p>
    <w:p>
      <w:pPr>
        <w:pStyle w:val="Heading 2"/>
        <w:spacing w:before="0" w:after="40"/>
      </w:pPr>
      <w:r>
        <w:rPr>
          <w:rtl w:val="0"/>
          <w:lang w:val="en-US"/>
        </w:rPr>
        <w:t>Terms Used in This Report</w:t>
      </w:r>
    </w:p>
    <w:tbl>
      <w:tblPr>
        <w:tblW w:w="1079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695"/>
        <w:gridCol w:w="8095"/>
      </w:tblGrid>
      <w:tr>
        <w:tblPrEx>
          <w:shd w:val="clear" w:color="auto" w:fill="4472c4"/>
        </w:tblPrEx>
        <w:trPr>
          <w:trHeight w:val="282" w:hRule="atLeast"/>
          <w:tblHeader/>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Term</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Definition</w:t>
            </w:r>
          </w:p>
        </w:tc>
      </w:tr>
      <w:tr>
        <w:tblPrEx>
          <w:shd w:val="clear" w:color="auto" w:fill="cdd4e9"/>
        </w:tblPrEx>
        <w:trPr>
          <w:trHeight w:val="842"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Level 1 Assessment</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A Level 1 assessment is a study of the water system to identify potential problems and determine (if possible) why total coliform bacteria have been found in our water system.</w:t>
            </w:r>
          </w:p>
        </w:tc>
      </w:tr>
      <w:tr>
        <w:tblPrEx>
          <w:shd w:val="clear" w:color="auto" w:fill="cdd4e9"/>
        </w:tblPrEx>
        <w:trPr>
          <w:trHeight w:val="1122"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Level 2 Assessment</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 xml:space="preserve">A Level 2 assessment is a very detailed study of the water system to identify potential problems and determine (if possible) why an </w:t>
            </w:r>
            <w:r>
              <w:rPr>
                <w:rFonts w:ascii="Arial" w:hAnsi="Arial"/>
                <w:i w:val="1"/>
                <w:iCs w:val="1"/>
                <w:sz w:val="24"/>
                <w:szCs w:val="24"/>
                <w:shd w:val="nil" w:color="auto" w:fill="auto"/>
                <w:rtl w:val="0"/>
                <w:lang w:val="en-US"/>
              </w:rPr>
              <w:t>E. coli</w:t>
            </w:r>
            <w:r>
              <w:rPr>
                <w:rFonts w:ascii="Arial" w:hAnsi="Arial"/>
                <w:sz w:val="24"/>
                <w:szCs w:val="24"/>
                <w:shd w:val="nil" w:color="auto" w:fill="auto"/>
                <w:rtl w:val="0"/>
                <w:lang w:val="en-US"/>
              </w:rPr>
              <w:t xml:space="preserve"> MCL violation has occurred and/or why total coliform bacteria have been found in our water system on multiple occasions.</w:t>
            </w:r>
          </w:p>
        </w:tc>
      </w:tr>
      <w:tr>
        <w:tblPrEx>
          <w:shd w:val="clear" w:color="auto" w:fill="cdd4e9"/>
        </w:tblPrEx>
        <w:trPr>
          <w:trHeight w:val="1122"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Maximum Contaminant Level (MCL)</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The highest level of a contaminant that is allowed in drinking water.  Primary MCLs are set as close to the PHGs (or MCLGs) as is economically and technologically feasible.  Secondary MCLs are set to protect the odor, taste, and appearance of drinking water.</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Maximum Contaminant Level Goal (MCLG)</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The level of a contaminant in drinking water below which there is no known or expected risk to health.  MCLGs are set by the U.S. Environmental Protection Agency (U.S. EPA).</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Maximum Residual Disinfectant Level (MRDL)</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The highest level of a disinfectant allowed in drinking water.  There is convincing evidence that addition of a disinfectant is necessary for control of microbial contaminants.</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Maximum Residual Disinfectant Level Goal (MRDLG)</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The level of a drinking water disinfectant below which there is no known or expected risk to health.  MRDLGs do not reflect the benefits of the use of disinfectants to control microbial contaminants.</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Primary Drinking Water Standards (PDWS)</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MCLs and MRDLs for contaminants that affect health along with their monitoring and reporting requirements, and water treatment requirements.</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Arial" w:cs="Arial" w:hAnsi="Arial" w:eastAsia="Arial"/>
                <w:sz w:val="24"/>
                <w:szCs w:val="24"/>
                <w:shd w:val="nil" w:color="auto" w:fill="auto"/>
              </w:rPr>
            </w:pPr>
            <w:r>
              <w:rPr>
                <w:rFonts w:ascii="Arial" w:hAnsi="Arial"/>
                <w:sz w:val="24"/>
                <w:szCs w:val="24"/>
                <w:shd w:val="nil" w:color="auto" w:fill="auto"/>
                <w:rtl w:val="0"/>
                <w:lang w:val="en-US"/>
              </w:rPr>
              <w:t>Public Health Goal</w:t>
            </w:r>
          </w:p>
          <w:p>
            <w:pPr>
              <w:pStyle w:val="Body"/>
              <w:bidi w:val="0"/>
              <w:ind w:left="0" w:right="0" w:firstLine="0"/>
              <w:jc w:val="left"/>
              <w:rPr>
                <w:rtl w:val="0"/>
              </w:rPr>
            </w:pPr>
            <w:r>
              <w:rPr>
                <w:rFonts w:ascii="Arial" w:hAnsi="Arial"/>
                <w:sz w:val="24"/>
                <w:szCs w:val="24"/>
                <w:shd w:val="nil" w:color="auto" w:fill="auto"/>
                <w:rtl w:val="0"/>
                <w:lang w:val="en-US"/>
              </w:rPr>
              <w:t>(PHG)</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The level of a contaminant in drinking water below which there is no known or expected risk to health.  PHGs are set by the California Environmental Protection Agency.</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Arial" w:cs="Arial" w:hAnsi="Arial" w:eastAsia="Arial"/>
                <w:sz w:val="24"/>
                <w:szCs w:val="24"/>
                <w:shd w:val="nil" w:color="auto" w:fill="auto"/>
              </w:rPr>
            </w:pPr>
            <w:r>
              <w:rPr>
                <w:rFonts w:ascii="Arial" w:hAnsi="Arial"/>
                <w:sz w:val="24"/>
                <w:szCs w:val="24"/>
                <w:shd w:val="nil" w:color="auto" w:fill="auto"/>
                <w:rtl w:val="0"/>
                <w:lang w:val="en-US"/>
              </w:rPr>
              <w:t>Regulatory Action Level</w:t>
            </w:r>
          </w:p>
          <w:p>
            <w:pPr>
              <w:pStyle w:val="Body"/>
              <w:bidi w:val="0"/>
              <w:ind w:left="0" w:right="0" w:firstLine="0"/>
              <w:jc w:val="left"/>
              <w:rPr>
                <w:rtl w:val="0"/>
              </w:rPr>
            </w:pPr>
            <w:r>
              <w:rPr>
                <w:rFonts w:ascii="Arial" w:hAnsi="Arial"/>
                <w:sz w:val="24"/>
                <w:szCs w:val="24"/>
                <w:shd w:val="nil" w:color="auto" w:fill="auto"/>
                <w:rtl w:val="0"/>
                <w:lang w:val="en-US"/>
              </w:rPr>
              <w:t>(AL)</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The concentration of a contaminant which, if exceeded, triggers treatment or other requirements that a water system must follow.</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Secondary Drinking Water Standards (SDWS)</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MCLs for contaminants that affect taste, odor, or appearance of the drinking water.  Contaminants with SDWSs do not affect the health at the MCL levels.</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Arial" w:cs="Arial" w:hAnsi="Arial" w:eastAsia="Arial"/>
                <w:sz w:val="24"/>
                <w:szCs w:val="24"/>
                <w:shd w:val="nil" w:color="auto" w:fill="auto"/>
              </w:rPr>
            </w:pPr>
            <w:r>
              <w:rPr>
                <w:rFonts w:ascii="Arial" w:hAnsi="Arial"/>
                <w:sz w:val="24"/>
                <w:szCs w:val="24"/>
                <w:shd w:val="nil" w:color="auto" w:fill="auto"/>
                <w:rtl w:val="0"/>
                <w:lang w:val="en-US"/>
              </w:rPr>
              <w:t>Treatment Technique</w:t>
            </w:r>
          </w:p>
          <w:p>
            <w:pPr>
              <w:pStyle w:val="Body"/>
              <w:bidi w:val="0"/>
              <w:ind w:left="0" w:right="0" w:firstLine="0"/>
              <w:jc w:val="left"/>
              <w:rPr>
                <w:rtl w:val="0"/>
              </w:rPr>
            </w:pPr>
            <w:r>
              <w:rPr>
                <w:rFonts w:ascii="Arial" w:hAnsi="Arial"/>
                <w:sz w:val="24"/>
                <w:szCs w:val="24"/>
                <w:shd w:val="nil" w:color="auto" w:fill="auto"/>
                <w:rtl w:val="0"/>
                <w:lang w:val="en-US"/>
              </w:rPr>
              <w:t>(TT)</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A required process intended to reduce the level of a contaminant in drinking water.</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Variances and Exemptions</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Permissions from the State Water Resources Control Board (State Board) to exceed an MCL or not comply with a treatment technique under certain conditions.</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ND</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Not detectable at testing limit.</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ppm</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parts per million or milligrams per liter (mg/L)</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ppb</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parts per billion or micrograms per liter (</w:t>
            </w:r>
            <w:r>
              <w:rPr>
                <w:rFonts w:ascii="Arial" w:hAnsi="Arial" w:hint="default"/>
                <w:sz w:val="24"/>
                <w:szCs w:val="24"/>
                <w:shd w:val="nil" w:color="auto" w:fill="auto"/>
                <w:rtl w:val="0"/>
                <w:lang w:val="en-US"/>
              </w:rPr>
              <w:t>µ</w:t>
            </w:r>
            <w:r>
              <w:rPr>
                <w:rFonts w:ascii="Arial" w:hAnsi="Arial"/>
                <w:sz w:val="24"/>
                <w:szCs w:val="24"/>
                <w:shd w:val="nil" w:color="auto" w:fill="auto"/>
                <w:rtl w:val="0"/>
                <w:lang w:val="en-US"/>
              </w:rPr>
              <w:t>g/L)</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ppt</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parts per trillion or nanograms per liter (ng/L)</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ppq</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parts per quadrillion or picogram per liter (pg/L)</w:t>
            </w:r>
          </w:p>
        </w:tc>
      </w:tr>
      <w:tr>
        <w:tblPrEx>
          <w:shd w:val="clear" w:color="auto" w:fill="cdd4e9"/>
        </w:tblPrEx>
        <w:trPr>
          <w:trHeight w:val="4294967136" w:hRule="atLeast"/>
        </w:trPr>
        <w:tc>
          <w:tcPr>
            <w:tcW w:type="dxa" w:w="26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pCi/L</w:t>
            </w:r>
          </w:p>
        </w:tc>
        <w:tc>
          <w:tcPr>
            <w:tcW w:type="dxa" w:w="80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sz w:val="24"/>
                <w:szCs w:val="24"/>
                <w:shd w:val="nil" w:color="auto" w:fill="auto"/>
                <w:rtl w:val="0"/>
                <w:lang w:val="en-US"/>
              </w:rPr>
              <w:t>picocuries per liter (a measure of radiation)</w:t>
            </w:r>
          </w:p>
        </w:tc>
      </w:tr>
    </w:tbl>
    <w:p>
      <w:pPr>
        <w:pStyle w:val="Heading 2"/>
        <w:widowControl w:val="0"/>
        <w:spacing w:before="0" w:after="40"/>
      </w:pPr>
    </w:p>
    <w:p>
      <w:pPr>
        <w:pStyle w:val="Heading 2"/>
      </w:pPr>
      <w:r>
        <w:rPr>
          <w:rtl w:val="0"/>
          <w:lang w:val="en-US"/>
        </w:rPr>
        <w:t>Sources of Drinking Water and Contaminants that May Be Present in Source Water</w:t>
      </w:r>
    </w:p>
    <w:p>
      <w:pPr>
        <w:pStyle w:val="Body"/>
        <w:spacing w:after="240"/>
        <w:rPr>
          <w:rFonts w:ascii="Arial" w:cs="Arial" w:hAnsi="Arial" w:eastAsia="Arial"/>
          <w:sz w:val="24"/>
          <w:szCs w:val="24"/>
        </w:rPr>
      </w:pPr>
      <w:r>
        <w:rPr>
          <w:rFonts w:ascii="Arial" w:hAnsi="Arial"/>
          <w:sz w:val="24"/>
          <w:szCs w:val="24"/>
          <w:rtl w:val="0"/>
          <w:lang w:val="en-US"/>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pStyle w:val="Body"/>
        <w:spacing w:after="240"/>
        <w:rPr>
          <w:rFonts w:ascii="Arial" w:cs="Arial" w:hAnsi="Arial" w:eastAsia="Arial"/>
          <w:sz w:val="24"/>
          <w:szCs w:val="24"/>
        </w:rPr>
      </w:pPr>
      <w:r>
        <w:rPr>
          <w:rFonts w:ascii="Arial" w:hAnsi="Arial"/>
          <w:sz w:val="24"/>
          <w:szCs w:val="24"/>
          <w:rtl w:val="0"/>
          <w:lang w:val="en-US"/>
        </w:rPr>
        <w:t>Contaminants that may be present in source water include:</w:t>
      </w:r>
    </w:p>
    <w:p>
      <w:pPr>
        <w:pStyle w:val="List Paragraph"/>
        <w:numPr>
          <w:ilvl w:val="0"/>
          <w:numId w:val="2"/>
        </w:numPr>
        <w:spacing w:after="240"/>
        <w:rPr>
          <w:lang w:val="en-US"/>
        </w:rPr>
      </w:pPr>
      <w:r>
        <w:rPr>
          <w:rtl w:val="0"/>
          <w:lang w:val="en-US"/>
        </w:rPr>
        <w:t>Microbial contaminants, such as viruses and bacteria, that may come from sewage treatment plants, septic systems, agricultural livestock operations, and wildlife.</w:t>
      </w:r>
    </w:p>
    <w:p>
      <w:pPr>
        <w:pStyle w:val="List Paragraph"/>
        <w:numPr>
          <w:ilvl w:val="0"/>
          <w:numId w:val="2"/>
        </w:numPr>
        <w:spacing w:after="240"/>
        <w:rPr>
          <w:lang w:val="en-US"/>
        </w:rPr>
      </w:pPr>
      <w:r>
        <w:rPr>
          <w:rtl w:val="0"/>
          <w:lang w:val="en-US"/>
        </w:rPr>
        <w:t>Inorganic contaminants, such as salts and metals, that can be naturally-occurring or result from urban stormwater runoff, industrial or domestic wastewater discharges, oil and gas production, mining, or farming.</w:t>
      </w:r>
    </w:p>
    <w:p>
      <w:pPr>
        <w:pStyle w:val="List Paragraph"/>
        <w:numPr>
          <w:ilvl w:val="0"/>
          <w:numId w:val="2"/>
        </w:numPr>
        <w:spacing w:after="240"/>
        <w:rPr>
          <w:lang w:val="en-US"/>
        </w:rPr>
      </w:pPr>
      <w:r>
        <w:rPr>
          <w:rtl w:val="0"/>
          <w:lang w:val="en-US"/>
        </w:rPr>
        <w:t>Pesticides and herbicides, that may come from a variety of sources such as agriculture, urban stormwater runoff, and residential uses.</w:t>
      </w:r>
    </w:p>
    <w:p>
      <w:pPr>
        <w:pStyle w:val="List Paragraph"/>
        <w:numPr>
          <w:ilvl w:val="0"/>
          <w:numId w:val="2"/>
        </w:numPr>
        <w:spacing w:after="240"/>
        <w:rPr>
          <w:lang w:val="en-US"/>
        </w:rPr>
      </w:pPr>
      <w:r>
        <w:rPr>
          <w:rtl w:val="0"/>
          <w:lang w:val="en-US"/>
        </w:rPr>
        <w:t>Organic chemical contaminants, including synthetic and volatile organic chemicals, that are byproducts of industrial processes and petroleum production, and can also come from gas stations, urban stormwater runoff, agricultural application, and septic systems.</w:t>
      </w:r>
    </w:p>
    <w:p>
      <w:pPr>
        <w:pStyle w:val="List Paragraph"/>
        <w:numPr>
          <w:ilvl w:val="0"/>
          <w:numId w:val="2"/>
        </w:numPr>
        <w:spacing w:after="0"/>
        <w:rPr>
          <w:lang w:val="en-US"/>
        </w:rPr>
      </w:pPr>
      <w:r>
        <w:rPr>
          <w:rtl w:val="0"/>
          <w:lang w:val="en-US"/>
        </w:rPr>
        <w:t>Radioactive contaminants, that can be naturally-occurring or be the result of oil and gas production and mining activities.</w:t>
      </w:r>
    </w:p>
    <w:p>
      <w:pPr>
        <w:pStyle w:val="Heading 2"/>
      </w:pPr>
      <w:r>
        <w:rPr>
          <w:rtl w:val="0"/>
          <w:lang w:val="en-US"/>
        </w:rPr>
        <w:t>Regulation of Drinking Water and Bottled Water Quality</w:t>
      </w:r>
    </w:p>
    <w:p>
      <w:pPr>
        <w:pStyle w:val="Body"/>
        <w:rPr>
          <w:rFonts w:ascii="Arial" w:cs="Arial" w:hAnsi="Arial" w:eastAsia="Arial"/>
          <w:sz w:val="24"/>
          <w:szCs w:val="24"/>
        </w:rPr>
      </w:pPr>
      <w:r>
        <w:rPr>
          <w:rFonts w:ascii="Arial" w:hAnsi="Arial"/>
          <w:sz w:val="24"/>
          <w:szCs w:val="24"/>
          <w:rtl w:val="0"/>
          <w:lang w:val="en-US"/>
        </w:rPr>
        <w:t>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pStyle w:val="Heading 2"/>
      </w:pPr>
      <w:r>
        <w:rPr>
          <w:rtl w:val="0"/>
          <w:lang w:val="en-US"/>
        </w:rPr>
        <w:t>About Your Drinking Water Quality</w:t>
      </w:r>
    </w:p>
    <w:p>
      <w:pPr>
        <w:pStyle w:val="Heading 3"/>
        <w:spacing w:before="120" w:after="120"/>
        <w:rPr>
          <w:outline w:val="0"/>
          <w:color w:val="000000"/>
          <w:u w:color="000000"/>
          <w14:textFill>
            <w14:solidFill>
              <w14:srgbClr w14:val="000000"/>
            </w14:solidFill>
          </w14:textFill>
        </w:rPr>
      </w:pPr>
      <w:bookmarkStart w:name="_Hlk57994699" w:id="0"/>
      <w:r>
        <w:rPr>
          <w:outline w:val="0"/>
          <w:color w:val="000000"/>
          <w:u w:color="000000"/>
          <w:rtl w:val="0"/>
          <w:lang w:val="en-US"/>
          <w14:textFill>
            <w14:solidFill>
              <w14:srgbClr w14:val="000000"/>
            </w14:solidFill>
          </w14:textFill>
        </w:rPr>
        <w:t>Drinking Water Contaminants Detected</w:t>
      </w:r>
    </w:p>
    <w:p>
      <w:pPr>
        <w:pStyle w:val="Body"/>
        <w:rPr>
          <w:rFonts w:ascii="Arial" w:cs="Arial" w:hAnsi="Arial" w:eastAsia="Arial"/>
          <w:sz w:val="24"/>
          <w:szCs w:val="24"/>
        </w:rPr>
      </w:pPr>
      <w:r>
        <w:rPr>
          <w:rFonts w:ascii="Arial" w:hAnsi="Arial"/>
          <w:sz w:val="24"/>
          <w:szCs w:val="24"/>
          <w:rtl w:val="0"/>
          <w:lang w:val="en-US"/>
        </w:rPr>
        <w:t>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bookmarkEnd w:id="0"/>
    </w:p>
    <w:p>
      <w:pPr>
        <w:pStyle w:val="caption"/>
      </w:pPr>
      <w:r>
        <w:rPr>
          <w:rtl w:val="0"/>
          <w:lang w:val="en-US"/>
        </w:rPr>
        <w:t>Table 1.  Sampling Results Showing the Detection of Coliform Bacteria</w:t>
      </w:r>
    </w:p>
    <w:p>
      <w:pPr>
        <w:pStyle w:val="Body"/>
        <w:keepNext w:val="1"/>
        <w:rPr>
          <w:rFonts w:ascii="Arial" w:cs="Arial" w:hAnsi="Arial" w:eastAsia="Arial"/>
          <w:sz w:val="24"/>
          <w:szCs w:val="24"/>
        </w:rPr>
      </w:pPr>
      <w:r>
        <w:rPr>
          <w:rFonts w:ascii="Arial" w:hAnsi="Arial"/>
          <w:sz w:val="24"/>
          <w:szCs w:val="24"/>
          <w:rtl w:val="0"/>
          <w:lang w:val="en-US"/>
        </w:rPr>
        <w:t>Complete if bacteria are detected.</w:t>
      </w:r>
    </w:p>
    <w:p>
      <w:pPr>
        <w:pStyle w:val="Body"/>
        <w:keepNext w:val="1"/>
      </w:pPr>
    </w:p>
    <w:tbl>
      <w:tblPr>
        <w:tblW w:w="1079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065"/>
        <w:gridCol w:w="1617"/>
        <w:gridCol w:w="1443"/>
        <w:gridCol w:w="1890"/>
        <w:gridCol w:w="1350"/>
        <w:gridCol w:w="2431"/>
      </w:tblGrid>
      <w:tr>
        <w:tblPrEx>
          <w:shd w:val="clear" w:color="auto" w:fill="4472c4"/>
        </w:tblPrEx>
        <w:trPr>
          <w:trHeight w:val="842" w:hRule="atLeast"/>
          <w:tblHeader/>
        </w:trPr>
        <w:tc>
          <w:tcPr>
            <w:tcW w:type="dxa" w:w="20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 xml:space="preserve">Microbiological Contaminants </w:t>
            </w:r>
          </w:p>
        </w:tc>
        <w:tc>
          <w:tcPr>
            <w:tcW w:type="dxa" w:w="16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Highest No. of Detections</w:t>
            </w:r>
          </w:p>
        </w:tc>
        <w:tc>
          <w:tcPr>
            <w:tcW w:type="dxa" w:w="1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No. of Months in Violation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MCL</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MCLG</w:t>
            </w:r>
          </w:p>
        </w:tc>
        <w:tc>
          <w:tcPr>
            <w:tcW w:type="dxa" w:w="24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Typical Source of Bacteria</w:t>
            </w:r>
          </w:p>
        </w:tc>
      </w:tr>
      <w:tr>
        <w:tblPrEx>
          <w:shd w:val="clear" w:color="auto" w:fill="cdd4e9"/>
        </w:tblPrEx>
        <w:trPr>
          <w:trHeight w:val="562" w:hRule="atLeast"/>
        </w:trPr>
        <w:tc>
          <w:tcPr>
            <w:tcW w:type="dxa" w:w="20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i w:val="1"/>
                <w:iCs w:val="1"/>
                <w:sz w:val="24"/>
                <w:szCs w:val="24"/>
                <w:shd w:val="nil" w:color="auto" w:fill="auto"/>
                <w:rtl w:val="0"/>
                <w:lang w:val="en-US"/>
              </w:rPr>
              <w:t>E. coli</w:t>
            </w:r>
            <w:r>
              <w:rPr>
                <w:rFonts w:ascii="Arial" w:cs="Arial" w:hAnsi="Arial" w:eastAsia="Arial"/>
                <w:i w:val="1"/>
                <w:iCs w:val="1"/>
                <w:sz w:val="24"/>
                <w:szCs w:val="24"/>
                <w:shd w:val="nil" w:color="auto" w:fill="auto"/>
                <w:lang w:val="en-US"/>
              </w:rPr>
              <w:br w:type="textWrapping"/>
            </w:r>
          </w:p>
        </w:tc>
        <w:tc>
          <w:tcPr>
            <w:tcW w:type="dxa" w:w="16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0</w:t>
            </w:r>
          </w:p>
        </w:tc>
        <w:tc>
          <w:tcPr>
            <w:tcW w:type="dxa" w:w="14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0</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(a</w:t>
            </w:r>
            <w:r>
              <w:rPr>
                <w:rFonts w:ascii="Arial" w:hAnsi="Arial"/>
                <w:sz w:val="24"/>
                <w:szCs w:val="24"/>
                <w:shd w:val="nil" w:color="auto" w:fill="auto"/>
                <w:rtl w:val="0"/>
                <w:lang w:val="en-US"/>
              </w:rPr>
              <w:t>)</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0</w:t>
            </w:r>
          </w:p>
        </w:tc>
        <w:tc>
          <w:tcPr>
            <w:tcW w:type="dxa" w:w="24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Human and animal fecal waste</w:t>
            </w:r>
          </w:p>
        </w:tc>
      </w:tr>
    </w:tbl>
    <w:p>
      <w:pPr>
        <w:pStyle w:val="Body"/>
        <w:keepNext w:val="1"/>
        <w:widowControl w:val="0"/>
      </w:pPr>
    </w:p>
    <w:p>
      <w:pPr>
        <w:pStyle w:val="Body"/>
        <w:rPr>
          <w:rFonts w:ascii="Arial" w:cs="Arial" w:hAnsi="Arial" w:eastAsia="Arial"/>
          <w:sz w:val="24"/>
          <w:szCs w:val="24"/>
        </w:rPr>
      </w:pPr>
    </w:p>
    <w:p>
      <w:pPr>
        <w:pStyle w:val="Body"/>
        <w:rPr>
          <w:rFonts w:ascii="Arial" w:cs="Arial" w:hAnsi="Arial" w:eastAsia="Arial"/>
          <w:sz w:val="24"/>
          <w:szCs w:val="24"/>
        </w:rPr>
      </w:pPr>
      <w:r>
        <w:rPr>
          <w:rFonts w:ascii="Arial" w:hAnsi="Arial"/>
          <w:sz w:val="24"/>
          <w:szCs w:val="24"/>
          <w:rtl w:val="0"/>
          <w:lang w:val="en-US"/>
        </w:rPr>
        <w:t xml:space="preserve">(a) Routine and repeat samples are total coliform-positive and either is </w:t>
      </w:r>
      <w:r>
        <w:rPr>
          <w:rFonts w:ascii="Arial" w:hAnsi="Arial"/>
          <w:i w:val="1"/>
          <w:iCs w:val="1"/>
          <w:sz w:val="24"/>
          <w:szCs w:val="24"/>
          <w:rtl w:val="0"/>
          <w:lang w:val="it-IT"/>
        </w:rPr>
        <w:t>E. coli</w:t>
      </w:r>
      <w:r>
        <w:rPr>
          <w:rFonts w:ascii="Arial" w:hAnsi="Arial"/>
          <w:sz w:val="24"/>
          <w:szCs w:val="24"/>
          <w:rtl w:val="0"/>
          <w:lang w:val="en-US"/>
        </w:rPr>
        <w:t xml:space="preserve">-positive or system fails to take repeat samples following </w:t>
      </w:r>
      <w:r>
        <w:rPr>
          <w:rFonts w:ascii="Arial" w:hAnsi="Arial"/>
          <w:i w:val="1"/>
          <w:iCs w:val="1"/>
          <w:sz w:val="24"/>
          <w:szCs w:val="24"/>
          <w:rtl w:val="0"/>
          <w:lang w:val="it-IT"/>
        </w:rPr>
        <w:t>E. coli</w:t>
      </w:r>
      <w:r>
        <w:rPr>
          <w:rFonts w:ascii="Arial" w:hAnsi="Arial"/>
          <w:sz w:val="24"/>
          <w:szCs w:val="24"/>
          <w:rtl w:val="0"/>
          <w:lang w:val="en-US"/>
        </w:rPr>
        <w:t xml:space="preserve">-positive routine sample or system fails to analyze total coliform-positive repeat sample for </w:t>
      </w:r>
      <w:r>
        <w:rPr>
          <w:rFonts w:ascii="Arial" w:hAnsi="Arial"/>
          <w:i w:val="1"/>
          <w:iCs w:val="1"/>
          <w:sz w:val="24"/>
          <w:szCs w:val="24"/>
          <w:rtl w:val="0"/>
          <w:lang w:val="it-IT"/>
        </w:rPr>
        <w:t>E. coli</w:t>
      </w:r>
      <w:r>
        <w:rPr>
          <w:rFonts w:ascii="Arial" w:hAnsi="Arial"/>
          <w:sz w:val="24"/>
          <w:szCs w:val="24"/>
          <w:rtl w:val="0"/>
        </w:rPr>
        <w:t>.</w:t>
      </w:r>
    </w:p>
    <w:p>
      <w:pPr>
        <w:pStyle w:val="caption"/>
      </w:pPr>
      <w:r>
        <w:rPr>
          <w:rtl w:val="0"/>
          <w:lang w:val="en-US"/>
        </w:rPr>
        <w:t>Table 2.  Sampling Results Showing the Detection of Lead and Copper</w:t>
      </w:r>
    </w:p>
    <w:p>
      <w:pPr>
        <w:pStyle w:val="Body"/>
        <w:rPr>
          <w:rFonts w:ascii="Arial" w:cs="Arial" w:hAnsi="Arial" w:eastAsia="Arial"/>
          <w:sz w:val="24"/>
          <w:szCs w:val="24"/>
        </w:rPr>
      </w:pPr>
      <w:r>
        <w:rPr>
          <w:rFonts w:ascii="Arial" w:hAnsi="Arial"/>
          <w:sz w:val="24"/>
          <w:szCs w:val="24"/>
          <w:rtl w:val="0"/>
          <w:lang w:val="en-US"/>
        </w:rPr>
        <w:t>Complete if lead or copper is detected in the last sample set.</w:t>
      </w:r>
    </w:p>
    <w:p>
      <w:pPr>
        <w:pStyle w:val="Body"/>
      </w:pPr>
    </w:p>
    <w:tbl>
      <w:tblPr>
        <w:tblW w:w="1088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85"/>
        <w:gridCol w:w="900"/>
        <w:gridCol w:w="990"/>
        <w:gridCol w:w="900"/>
        <w:gridCol w:w="900"/>
        <w:gridCol w:w="990"/>
        <w:gridCol w:w="720"/>
        <w:gridCol w:w="720"/>
        <w:gridCol w:w="3780"/>
      </w:tblGrid>
      <w:tr>
        <w:tblPrEx>
          <w:shd w:val="clear" w:color="auto" w:fill="4472c4"/>
        </w:tblPrEx>
        <w:trPr>
          <w:trHeight w:val="1682" w:hRule="atLeast"/>
          <w:tblHeader/>
        </w:trPr>
        <w:tc>
          <w:tcPr>
            <w:tcW w:type="dxa" w:w="9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 xml:space="preserve">Lead and Copper </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Sample Date</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No. of Samples Collected</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90</w:t>
            </w:r>
            <w:r>
              <w:rPr>
                <w:rFonts w:ascii="Arial" w:hAnsi="Arial"/>
                <w:b w:val="1"/>
                <w:bCs w:val="1"/>
                <w:sz w:val="24"/>
                <w:szCs w:val="24"/>
                <w:shd w:val="nil" w:color="auto" w:fill="auto"/>
                <w:vertAlign w:val="superscript"/>
                <w:rtl w:val="0"/>
                <w:lang w:val="en-US"/>
              </w:rPr>
              <w:t>th</w:t>
            </w:r>
            <w:r>
              <w:rPr>
                <w:rFonts w:ascii="Arial" w:hAnsi="Arial"/>
                <w:b w:val="1"/>
                <w:bCs w:val="1"/>
                <w:sz w:val="24"/>
                <w:szCs w:val="24"/>
                <w:shd w:val="nil" w:color="auto" w:fill="auto"/>
                <w:rtl w:val="0"/>
                <w:lang w:val="en-US"/>
              </w:rPr>
              <w:t xml:space="preserve"> Percentile Level Detected</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No. Sites Exceeding AL</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Range of Results</w:t>
            </w:r>
          </w:p>
        </w:tc>
        <w:tc>
          <w:tcPr>
            <w:tcW w:type="dxa" w:w="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AL</w:t>
            </w:r>
          </w:p>
        </w:tc>
        <w:tc>
          <w:tcPr>
            <w:tcW w:type="dxa" w:w="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24"/>
                <w:szCs w:val="24"/>
                <w:shd w:val="nil" w:color="auto" w:fill="auto"/>
                <w:rtl w:val="0"/>
                <w:lang w:val="en-US"/>
              </w:rPr>
              <w:t>PHG</w:t>
            </w:r>
          </w:p>
        </w:tc>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rPr>
                <w:rFonts w:ascii="Arial" w:cs="Arial" w:hAnsi="Arial" w:eastAsia="Arial"/>
                <w:b w:val="1"/>
                <w:bCs w:val="1"/>
                <w:sz w:val="24"/>
                <w:szCs w:val="24"/>
                <w:shd w:val="nil" w:color="auto" w:fill="auto"/>
              </w:rPr>
            </w:pPr>
            <w:r>
              <w:rPr>
                <w:rFonts w:ascii="Arial" w:hAnsi="Arial"/>
                <w:b w:val="1"/>
                <w:bCs w:val="1"/>
                <w:sz w:val="24"/>
                <w:szCs w:val="24"/>
                <w:shd w:val="nil" w:color="auto" w:fill="auto"/>
                <w:rtl w:val="0"/>
                <w:lang w:val="en-US"/>
              </w:rPr>
              <w:t>Typical Source of</w:t>
            </w:r>
          </w:p>
          <w:p>
            <w:pPr>
              <w:pStyle w:val="Body"/>
              <w:bidi w:val="0"/>
              <w:ind w:left="0" w:right="0" w:firstLine="0"/>
              <w:jc w:val="center"/>
              <w:rPr>
                <w:rtl w:val="0"/>
              </w:rPr>
            </w:pPr>
            <w:r>
              <w:rPr>
                <w:rFonts w:ascii="Arial" w:hAnsi="Arial"/>
                <w:b w:val="1"/>
                <w:bCs w:val="1"/>
                <w:sz w:val="24"/>
                <w:szCs w:val="24"/>
                <w:shd w:val="nil" w:color="auto" w:fill="auto"/>
                <w:rtl w:val="0"/>
                <w:lang w:val="en-US"/>
              </w:rPr>
              <w:t>Contaminant</w:t>
            </w:r>
          </w:p>
        </w:tc>
      </w:tr>
      <w:tr>
        <w:tblPrEx>
          <w:shd w:val="clear" w:color="auto" w:fill="cdd4e9"/>
        </w:tblPrEx>
        <w:trPr>
          <w:trHeight w:val="1172" w:hRule="atLeast"/>
        </w:trPr>
        <w:tc>
          <w:tcPr>
            <w:tcW w:type="dxa" w:w="9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Lead (ppb)</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9/23/24</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5</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N/D</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0</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N/D</w:t>
            </w:r>
          </w:p>
        </w:tc>
        <w:tc>
          <w:tcPr>
            <w:tcW w:type="dxa" w:w="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15</w:t>
            </w:r>
          </w:p>
        </w:tc>
        <w:tc>
          <w:tcPr>
            <w:tcW w:type="dxa" w:w="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0.2</w:t>
            </w:r>
          </w:p>
        </w:tc>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Corrosion of household plumbing systems; Erosion of natural deposits</w:t>
            </w:r>
          </w:p>
        </w:tc>
      </w:tr>
      <w:tr>
        <w:tblPrEx>
          <w:shd w:val="clear" w:color="auto" w:fill="cdd4e9"/>
        </w:tblPrEx>
        <w:trPr>
          <w:trHeight w:val="1122" w:hRule="atLeast"/>
        </w:trPr>
        <w:tc>
          <w:tcPr>
            <w:tcW w:type="dxa" w:w="9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Copper (ppm)</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9/23/24</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5</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0.082</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0</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0 to .164</w:t>
            </w:r>
          </w:p>
        </w:tc>
        <w:tc>
          <w:tcPr>
            <w:tcW w:type="dxa" w:w="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1.3</w:t>
            </w:r>
          </w:p>
        </w:tc>
        <w:tc>
          <w:tcPr>
            <w:tcW w:type="dxa" w:w="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0.3</w:t>
            </w:r>
          </w:p>
        </w:tc>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Internal corrosion of household plumbing systems; erosion of natural deposits; leaching from wood preservatives</w:t>
            </w:r>
          </w:p>
        </w:tc>
      </w:tr>
    </w:tbl>
    <w:p>
      <w:pPr>
        <w:pStyle w:val="Body"/>
        <w:widowControl w:val="0"/>
      </w:pPr>
    </w:p>
    <w:p>
      <w:pPr>
        <w:pStyle w:val="caption"/>
      </w:pPr>
      <w:r>
        <w:rPr>
          <w:rtl w:val="0"/>
          <w:lang w:val="en-US"/>
        </w:rPr>
        <w:t>Table 3.  Sampling Results for Sodium and Hardness</w:t>
      </w:r>
    </w:p>
    <w:tbl>
      <w:tblPr>
        <w:tblW w:w="1083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155"/>
        <w:gridCol w:w="1080"/>
        <w:gridCol w:w="1260"/>
        <w:gridCol w:w="1350"/>
        <w:gridCol w:w="900"/>
        <w:gridCol w:w="990"/>
        <w:gridCol w:w="3101"/>
      </w:tblGrid>
      <w:tr>
        <w:tblPrEx>
          <w:shd w:val="clear" w:color="auto" w:fill="cdd4e9"/>
        </w:tblPrEx>
        <w:trPr>
          <w:trHeight w:val="842" w:hRule="atLeast"/>
        </w:trPr>
        <w:tc>
          <w:tcPr>
            <w:tcW w:type="dxa" w:w="21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Chemical or Constituent (and reporting units)</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Sample Date</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Level Detected</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Range of Detections</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MCL</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PHG (MCLG)</w:t>
            </w:r>
          </w:p>
        </w:tc>
        <w:tc>
          <w:tcPr>
            <w:tcW w:type="dxa" w:w="31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Typical Source of Contaminant</w:t>
            </w:r>
          </w:p>
        </w:tc>
      </w:tr>
      <w:tr>
        <w:tblPrEx>
          <w:shd w:val="clear" w:color="auto" w:fill="cdd4e9"/>
        </w:tblPrEx>
        <w:trPr>
          <w:trHeight w:val="842" w:hRule="atLeast"/>
        </w:trPr>
        <w:tc>
          <w:tcPr>
            <w:tcW w:type="dxa" w:w="21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Sodium (ppm)</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31mg/L</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None</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None</w:t>
            </w:r>
          </w:p>
        </w:tc>
        <w:tc>
          <w:tcPr>
            <w:tcW w:type="dxa" w:w="31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Salt present in the water and is generally naturally occurring</w:t>
            </w:r>
          </w:p>
        </w:tc>
      </w:tr>
      <w:tr>
        <w:tblPrEx>
          <w:shd w:val="clear" w:color="auto" w:fill="cdd4e9"/>
        </w:tblPrEx>
        <w:trPr>
          <w:trHeight w:val="1402" w:hRule="atLeast"/>
        </w:trPr>
        <w:tc>
          <w:tcPr>
            <w:tcW w:type="dxa" w:w="21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Hardness (ppm)</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100mg/L</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None</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None</w:t>
            </w:r>
          </w:p>
        </w:tc>
        <w:tc>
          <w:tcPr>
            <w:tcW w:type="dxa" w:w="31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Sum of polyvalent cations present in the water, generally magnesium and calcium, and are usually naturally occurring</w:t>
            </w:r>
          </w:p>
        </w:tc>
      </w:tr>
    </w:tbl>
    <w:p>
      <w:pPr>
        <w:pStyle w:val="caption"/>
        <w:widowControl w:val="0"/>
      </w:pPr>
    </w:p>
    <w:p>
      <w:pPr>
        <w:pStyle w:val="caption"/>
      </w:pPr>
      <w:r>
        <w:rPr>
          <w:rtl w:val="0"/>
          <w:lang w:val="en-US"/>
        </w:rPr>
        <w:t>Table 4.  Detection of Contaminants with a Primary Drinking Water Standard</w:t>
      </w:r>
    </w:p>
    <w:tbl>
      <w:tblPr>
        <w:tblW w:w="1080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237"/>
        <w:gridCol w:w="1435"/>
        <w:gridCol w:w="1256"/>
        <w:gridCol w:w="1525"/>
        <w:gridCol w:w="1166"/>
        <w:gridCol w:w="1256"/>
        <w:gridCol w:w="1925"/>
      </w:tblGrid>
      <w:tr>
        <w:tblPrEx>
          <w:shd w:val="clear" w:color="auto" w:fill="cdd4e9"/>
        </w:tblPrEx>
        <w:trPr>
          <w:trHeight w:val="1594"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rPr>
                <w:rFonts w:ascii="Arial" w:cs="Arial" w:hAnsi="Arial" w:eastAsia="Arial"/>
                <w:b w:val="1"/>
                <w:bCs w:val="1"/>
                <w:sz w:val="24"/>
                <w:szCs w:val="24"/>
                <w:shd w:val="nil" w:color="auto" w:fill="auto"/>
              </w:rPr>
            </w:pPr>
            <w:r>
              <w:rPr>
                <w:rFonts w:ascii="Arial" w:hAnsi="Arial"/>
                <w:b w:val="1"/>
                <w:bCs w:val="1"/>
                <w:sz w:val="24"/>
                <w:szCs w:val="24"/>
                <w:shd w:val="nil" w:color="auto" w:fill="auto"/>
                <w:rtl w:val="0"/>
                <w:lang w:val="en-US"/>
              </w:rPr>
              <w:t>Chemical or Constituent</w:t>
            </w:r>
          </w:p>
          <w:p>
            <w:pPr>
              <w:pStyle w:val="Body"/>
              <w:keepNext w:val="1"/>
              <w:keepLines w:val="1"/>
              <w:bidi w:val="0"/>
              <w:ind w:left="0" w:right="0" w:firstLine="0"/>
              <w:jc w:val="center"/>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(and</w:t>
            </w:r>
          </w:p>
          <w:p>
            <w:pPr>
              <w:pStyle w:val="Body"/>
              <w:keepNext w:val="1"/>
              <w:keepLines w:val="1"/>
              <w:bidi w:val="0"/>
              <w:ind w:left="0" w:right="0" w:firstLine="0"/>
              <w:jc w:val="center"/>
              <w:rPr>
                <w:rtl w:val="0"/>
              </w:rPr>
            </w:pPr>
            <w:r>
              <w:rPr>
                <w:rFonts w:ascii="Arial" w:hAnsi="Arial"/>
                <w:b w:val="1"/>
                <w:bCs w:val="1"/>
                <w:sz w:val="24"/>
                <w:szCs w:val="24"/>
                <w:shd w:val="nil" w:color="auto" w:fill="auto"/>
                <w:rtl w:val="0"/>
                <w:lang w:val="en-US"/>
              </w:rPr>
              <w:t>reporting units)</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pPr>
            <w:r>
              <w:rPr>
                <w:rFonts w:ascii="Arial" w:hAnsi="Arial"/>
                <w:b w:val="1"/>
                <w:bCs w:val="1"/>
                <w:sz w:val="24"/>
                <w:szCs w:val="24"/>
                <w:shd w:val="nil" w:color="auto" w:fill="auto"/>
                <w:rtl w:val="0"/>
                <w:lang w:val="en-US"/>
              </w:rPr>
              <w:t>Sample Date</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pPr>
            <w:r>
              <w:rPr>
                <w:rFonts w:ascii="Arial" w:hAnsi="Arial"/>
                <w:b w:val="1"/>
                <w:bCs w:val="1"/>
                <w:sz w:val="24"/>
                <w:szCs w:val="24"/>
                <w:shd w:val="nil" w:color="auto" w:fill="auto"/>
                <w:rtl w:val="0"/>
                <w:lang w:val="en-US"/>
              </w:rPr>
              <w:t>Level Detected</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pPr>
            <w:r>
              <w:rPr>
                <w:rFonts w:ascii="Arial" w:hAnsi="Arial"/>
                <w:b w:val="1"/>
                <w:bCs w:val="1"/>
                <w:sz w:val="24"/>
                <w:szCs w:val="24"/>
                <w:shd w:val="nil" w:color="auto" w:fill="auto"/>
                <w:rtl w:val="0"/>
                <w:lang w:val="en-US"/>
              </w:rPr>
              <w:t>Range of Detections</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pPr>
            <w:r>
              <w:rPr>
                <w:rFonts w:ascii="Arial" w:hAnsi="Arial"/>
                <w:b w:val="1"/>
                <w:bCs w:val="1"/>
                <w:sz w:val="24"/>
                <w:szCs w:val="24"/>
                <w:shd w:val="nil" w:color="auto" w:fill="auto"/>
                <w:rtl w:val="0"/>
                <w:lang w:val="en-US"/>
              </w:rPr>
              <w:t>MCL [MRDL]</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pPr>
            <w:r>
              <w:rPr>
                <w:rFonts w:ascii="Arial" w:hAnsi="Arial"/>
                <w:b w:val="1"/>
                <w:bCs w:val="1"/>
                <w:sz w:val="24"/>
                <w:szCs w:val="24"/>
                <w:shd w:val="nil" w:color="auto" w:fill="auto"/>
                <w:rtl w:val="0"/>
                <w:lang w:val="en-US"/>
              </w:rPr>
              <w:t>PHG (MCLG) [MRDLG]</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jc w:val="center"/>
            </w:pPr>
            <w:r>
              <w:rPr>
                <w:rFonts w:ascii="Arial" w:hAnsi="Arial"/>
                <w:b w:val="1"/>
                <w:bCs w:val="1"/>
                <w:sz w:val="24"/>
                <w:szCs w:val="24"/>
                <w:shd w:val="nil" w:color="auto" w:fill="auto"/>
                <w:rtl w:val="0"/>
                <w:lang w:val="en-US"/>
              </w:rPr>
              <w:t>Typical Source of Contaminant</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keepNext w:val="1"/>
              <w:keepLines w:val="1"/>
              <w:spacing w:before="40" w:after="40"/>
              <w:ind w:left="30" w:firstLine="0"/>
              <w:jc w:val="both"/>
            </w:pPr>
            <w:r>
              <w:rPr>
                <w:rFonts w:ascii="Arial" w:hAnsi="Arial"/>
                <w:sz w:val="24"/>
                <w:szCs w:val="24"/>
                <w:lang w:val="en-US"/>
              </w:rPr>
              <w:t>Alkalinity as CaCO3</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keepLines w:val="1"/>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keepLines w:val="1"/>
              <w:spacing w:before="40" w:after="40"/>
              <w:jc w:val="center"/>
            </w:pPr>
            <w:r>
              <w:rPr>
                <w:rFonts w:ascii="Arial" w:hAnsi="Arial"/>
                <w:sz w:val="24"/>
                <w:szCs w:val="24"/>
                <w:lang w:val="en-US"/>
              </w:rPr>
              <w:t>110mg/L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keepLines w:val="1"/>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keepLines w:val="1"/>
              <w:spacing w:before="40" w:after="40"/>
              <w:jc w:val="center"/>
            </w:pPr>
            <w:r>
              <w:rPr>
                <w:rFonts w:ascii="Arial" w:hAnsi="Arial"/>
                <w:sz w:val="24"/>
                <w:szCs w:val="24"/>
                <w:lang w:val="en-US"/>
              </w:rPr>
              <w:t>None</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keepLines w:val="1"/>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keepLines w:val="1"/>
              <w:spacing w:before="40" w:after="40"/>
              <w:jc w:val="center"/>
            </w:pPr>
            <w:r>
              <w:rPr>
                <w:rFonts w:ascii="Arial" w:hAnsi="Arial"/>
                <w:sz w:val="24"/>
                <w:szCs w:val="24"/>
                <w:lang w:val="en-US"/>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Bicarbonate as CaCO3</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110mg/L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Flouride</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1.1mg/L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2</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Nitrate</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4.8mg/L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10</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Run off from fertilizer use, septic systems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Barium</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77ug/L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1000</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Calcium</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30 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Magnesium</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7.2 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Potassium</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2.7 mg/L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r>
        <w:tblPrEx>
          <w:shd w:val="clear" w:color="auto" w:fill="cdd4e9"/>
        </w:tblPrEx>
        <w:trPr>
          <w:trHeight w:val="842" w:hRule="atLeast"/>
        </w:trPr>
        <w:tc>
          <w:tcPr>
            <w:tcW w:type="dxa" w:w="2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10"/>
              <w:bottom w:type="dxa" w:w="80"/>
              <w:right w:type="dxa" w:w="80"/>
            </w:tcMar>
            <w:vAlign w:val="top"/>
          </w:tcPr>
          <w:p>
            <w:pPr>
              <w:pStyle w:val="Body"/>
              <w:spacing w:before="40" w:after="40"/>
              <w:ind w:left="30" w:firstLine="0"/>
              <w:jc w:val="both"/>
            </w:pPr>
            <w:r>
              <w:rPr>
                <w:rFonts w:ascii="Arial" w:hAnsi="Arial"/>
                <w:sz w:val="24"/>
                <w:szCs w:val="24"/>
                <w:lang w:val="en-US"/>
              </w:rPr>
              <w:t>Zinc</w:t>
            </w:r>
          </w:p>
        </w:tc>
        <w:tc>
          <w:tcPr>
            <w:tcW w:type="dxa" w:w="14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rPr>
              <w:t>52 ug/L</w:t>
            </w:r>
          </w:p>
        </w:tc>
        <w:tc>
          <w:tcPr>
            <w:tcW w:type="dxa" w:w="15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5000</w:t>
            </w:r>
          </w:p>
        </w:tc>
        <w:tc>
          <w:tcPr>
            <w:tcW w:type="dxa" w:w="12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bl>
    <w:p>
      <w:pPr>
        <w:pStyle w:val="caption"/>
        <w:widowControl w:val="0"/>
      </w:pPr>
    </w:p>
    <w:p>
      <w:pPr>
        <w:pStyle w:val="caption"/>
      </w:pPr>
      <w:r>
        <w:rPr>
          <w:rtl w:val="0"/>
          <w:lang w:val="en-US"/>
        </w:rPr>
        <w:t xml:space="preserve">Table </w:t>
      </w:r>
      <w:r>
        <w:tab/>
      </w:r>
      <w:r>
        <w:rPr>
          <w:rtl w:val="0"/>
          <w:lang w:val="en-US"/>
        </w:rPr>
        <w:t>5.  Detection of Contaminants with a Secondary Drinking Water Standard</w:t>
      </w:r>
    </w:p>
    <w:tbl>
      <w:tblPr>
        <w:tblW w:w="1083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245"/>
        <w:gridCol w:w="1440"/>
        <w:gridCol w:w="1260"/>
        <w:gridCol w:w="1530"/>
        <w:gridCol w:w="900"/>
        <w:gridCol w:w="1170"/>
        <w:gridCol w:w="2291"/>
      </w:tblGrid>
      <w:tr>
        <w:tblPrEx>
          <w:shd w:val="clear" w:color="auto" w:fill="cdd4e9"/>
        </w:tblPrEx>
        <w:trPr>
          <w:trHeight w:val="84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spacing w:after="60" w:line="240" w:lineRule="exact"/>
              <w:jc w:val="center"/>
            </w:pPr>
            <w:r>
              <w:rPr>
                <w:rFonts w:ascii="Arial" w:hAnsi="Arial"/>
                <w:b w:val="1"/>
                <w:bCs w:val="1"/>
                <w:sz w:val="24"/>
                <w:szCs w:val="24"/>
                <w:shd w:val="nil" w:color="auto" w:fill="auto"/>
                <w:rtl w:val="0"/>
                <w:lang w:val="en-US"/>
              </w:rPr>
              <w:t>Chemical or Constituent (and reporting units)</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spacing w:after="60"/>
              <w:jc w:val="center"/>
            </w:pPr>
            <w:r>
              <w:rPr>
                <w:rFonts w:ascii="Arial" w:hAnsi="Arial"/>
                <w:b w:val="1"/>
                <w:bCs w:val="1"/>
                <w:sz w:val="24"/>
                <w:szCs w:val="24"/>
                <w:shd w:val="nil" w:color="auto" w:fill="auto"/>
                <w:rtl w:val="0"/>
                <w:lang w:val="en-US"/>
              </w:rPr>
              <w:t>Sample Date</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spacing w:after="60"/>
              <w:jc w:val="center"/>
            </w:pPr>
            <w:r>
              <w:rPr>
                <w:rFonts w:ascii="Arial" w:hAnsi="Arial"/>
                <w:b w:val="1"/>
                <w:bCs w:val="1"/>
                <w:sz w:val="24"/>
                <w:szCs w:val="24"/>
                <w:shd w:val="nil" w:color="auto" w:fill="auto"/>
                <w:rtl w:val="0"/>
                <w:lang w:val="en-US"/>
              </w:rPr>
              <w:t>Level Detected</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spacing w:after="60"/>
              <w:jc w:val="center"/>
            </w:pPr>
            <w:r>
              <w:rPr>
                <w:rFonts w:ascii="Arial" w:hAnsi="Arial"/>
                <w:b w:val="1"/>
                <w:bCs w:val="1"/>
                <w:sz w:val="24"/>
                <w:szCs w:val="24"/>
                <w:shd w:val="nil" w:color="auto" w:fill="auto"/>
                <w:rtl w:val="0"/>
                <w:lang w:val="en-US"/>
              </w:rPr>
              <w:t>Range of Detections</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spacing w:after="60"/>
              <w:jc w:val="center"/>
            </w:pPr>
            <w:r>
              <w:rPr>
                <w:rFonts w:ascii="Arial" w:hAnsi="Arial"/>
                <w:b w:val="1"/>
                <w:bCs w:val="1"/>
                <w:sz w:val="24"/>
                <w:szCs w:val="24"/>
                <w:shd w:val="nil" w:color="auto" w:fill="auto"/>
                <w:rtl w:val="0"/>
                <w:lang w:val="en-US"/>
              </w:rPr>
              <w:t>SMCL</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keepLines w:val="1"/>
              <w:spacing w:after="60"/>
              <w:jc w:val="center"/>
            </w:pPr>
            <w:r>
              <w:rPr>
                <w:rFonts w:ascii="Arial" w:hAnsi="Arial"/>
                <w:b w:val="1"/>
                <w:bCs w:val="1"/>
                <w:sz w:val="24"/>
                <w:szCs w:val="24"/>
                <w:shd w:val="nil" w:color="auto" w:fill="auto"/>
                <w:rtl w:val="0"/>
                <w:lang w:val="en-US"/>
              </w:rPr>
              <w:t>PHG (MCLG)</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jc w:val="center"/>
              <w:rPr>
                <w:rFonts w:ascii="Arial" w:cs="Arial" w:hAnsi="Arial" w:eastAsia="Arial"/>
                <w:b w:val="1"/>
                <w:bCs w:val="1"/>
                <w:sz w:val="24"/>
                <w:szCs w:val="24"/>
                <w:shd w:val="nil" w:color="auto" w:fill="auto"/>
              </w:rPr>
            </w:pPr>
            <w:r>
              <w:rPr>
                <w:rFonts w:ascii="Arial" w:hAnsi="Arial"/>
                <w:b w:val="1"/>
                <w:bCs w:val="1"/>
                <w:sz w:val="24"/>
                <w:szCs w:val="24"/>
                <w:shd w:val="nil" w:color="auto" w:fill="auto"/>
                <w:rtl w:val="0"/>
                <w:lang w:val="en-US"/>
              </w:rPr>
              <w:t>Typical Source</w:t>
            </w:r>
          </w:p>
          <w:p>
            <w:pPr>
              <w:pStyle w:val="Body"/>
              <w:bidi w:val="0"/>
              <w:ind w:left="0" w:right="0" w:firstLine="0"/>
              <w:jc w:val="center"/>
              <w:rPr>
                <w:rFonts w:ascii="Arial" w:cs="Arial" w:hAnsi="Arial" w:eastAsia="Arial"/>
                <w:b w:val="1"/>
                <w:bCs w:val="1"/>
                <w:sz w:val="24"/>
                <w:szCs w:val="24"/>
                <w:shd w:val="nil" w:color="auto" w:fill="auto"/>
                <w:rtl w:val="0"/>
              </w:rPr>
            </w:pPr>
            <w:r>
              <w:rPr>
                <w:rFonts w:ascii="Arial" w:hAnsi="Arial"/>
                <w:b w:val="1"/>
                <w:bCs w:val="1"/>
                <w:sz w:val="24"/>
                <w:szCs w:val="24"/>
                <w:shd w:val="nil" w:color="auto" w:fill="auto"/>
                <w:rtl w:val="0"/>
                <w:lang w:val="en-US"/>
              </w:rPr>
              <w:t>of</w:t>
            </w:r>
          </w:p>
          <w:p>
            <w:pPr>
              <w:pStyle w:val="Body"/>
              <w:bidi w:val="0"/>
              <w:spacing w:after="60"/>
              <w:ind w:left="0" w:right="0" w:firstLine="0"/>
              <w:jc w:val="center"/>
              <w:rPr>
                <w:rtl w:val="0"/>
              </w:rPr>
            </w:pPr>
            <w:r>
              <w:rPr>
                <w:rFonts w:ascii="Arial" w:hAnsi="Arial"/>
                <w:b w:val="1"/>
                <w:bCs w:val="1"/>
                <w:sz w:val="24"/>
                <w:szCs w:val="24"/>
                <w:shd w:val="nil" w:color="auto" w:fill="auto"/>
                <w:rtl w:val="0"/>
                <w:lang w:val="en-US"/>
              </w:rPr>
              <w:t>Contaminant</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pStyle w:val="Body"/>
              <w:spacing w:before="40" w:after="40"/>
              <w:ind w:left="187" w:firstLine="0"/>
            </w:pPr>
            <w:r>
              <w:rPr>
                <w:rFonts w:ascii="Arial" w:hAnsi="Arial"/>
                <w:sz w:val="24"/>
                <w:szCs w:val="24"/>
                <w:lang w:val="en-US"/>
              </w:rPr>
              <w:t>Chloride</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8.3 mg/L</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250</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Erosion of natural elements</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pStyle w:val="Body"/>
              <w:spacing w:before="40" w:after="40"/>
              <w:ind w:left="187" w:firstLine="0"/>
            </w:pPr>
            <w:r>
              <w:rPr>
                <w:rFonts w:ascii="Arial" w:hAnsi="Arial"/>
                <w:sz w:val="24"/>
                <w:szCs w:val="24"/>
                <w:lang w:val="en-US"/>
              </w:rPr>
              <w:t>Color</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5.0 CU</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15</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Presence of rust or organic matter</w:t>
            </w:r>
          </w:p>
        </w:tc>
      </w:tr>
      <w:tr>
        <w:tblPrEx>
          <w:shd w:val="clear" w:color="auto" w:fill="cdd4e9"/>
        </w:tblPrEx>
        <w:trPr>
          <w:trHeight w:val="84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pStyle w:val="Body"/>
              <w:spacing w:before="40" w:after="40"/>
              <w:ind w:left="187" w:firstLine="0"/>
            </w:pPr>
            <w:r>
              <w:rPr>
                <w:rFonts w:ascii="Arial" w:hAnsi="Arial"/>
                <w:sz w:val="24"/>
                <w:szCs w:val="24"/>
                <w:lang w:val="en-US"/>
              </w:rPr>
              <w:t>Conductivity</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320 umhos/cm</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900</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lang w:val="en-US"/>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Presence of salt, minerals and metals in water</w:t>
            </w:r>
          </w:p>
        </w:tc>
      </w:tr>
      <w:tr>
        <w:tblPrEx>
          <w:shd w:val="clear" w:color="auto" w:fill="cdd4e9"/>
        </w:tblPrEx>
        <w:trPr>
          <w:trHeight w:val="84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187"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pH</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7.8 pH units</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None</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Natural mineral interaction with water</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187"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Sulfate as SO4</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22 mg/L</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250</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187"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Total Dissolved Solids</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250 mg/L</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500</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natural elements</w:t>
            </w:r>
          </w:p>
        </w:tc>
      </w:tr>
      <w:tr>
        <w:tblPrEx>
          <w:shd w:val="clear" w:color="auto" w:fill="cdd4e9"/>
        </w:tblPrEx>
        <w:trPr>
          <w:trHeight w:val="28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187"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Turbidity</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.68 NTU</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5</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Soil runoff</w:t>
            </w:r>
          </w:p>
        </w:tc>
      </w:tr>
      <w:tr>
        <w:tblPrEx>
          <w:shd w:val="clear" w:color="auto" w:fill="cdd4e9"/>
        </w:tblPrEx>
        <w:trPr>
          <w:trHeight w:val="84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267"/>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187"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Iron*</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11/21/25</w:t>
            </w:r>
          </w:p>
        </w:tc>
        <w:tc>
          <w:tcPr>
            <w:tcW w:type="dxa" w:w="1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1100 ug/L</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N/A</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300</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center"/>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None</w:t>
            </w:r>
          </w:p>
        </w:tc>
        <w:tc>
          <w:tcPr>
            <w:tcW w:type="dxa" w:w="22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40" w:after="4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t>Erosion of iron piping or erosion of natural elements</w:t>
            </w:r>
          </w:p>
        </w:tc>
      </w:tr>
    </w:tbl>
    <w:p>
      <w:pPr>
        <w:pStyle w:val="caption"/>
        <w:widowControl w:val="0"/>
      </w:pPr>
    </w:p>
    <w:p>
      <w:pPr>
        <w:pStyle w:val="caption"/>
        <w:widowControl w:val="0"/>
      </w:pPr>
      <w:r>
        <w:rPr>
          <w:rtl w:val="0"/>
          <w:lang w:val="en-US"/>
        </w:rPr>
        <w:t>Table 6.  Detection of Unregulated Contaminants</w:t>
      </w:r>
    </w:p>
    <w:tbl>
      <w:tblPr>
        <w:tblW w:w="1083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245"/>
        <w:gridCol w:w="1440"/>
        <w:gridCol w:w="1350"/>
        <w:gridCol w:w="1530"/>
        <w:gridCol w:w="1800"/>
        <w:gridCol w:w="2471"/>
      </w:tblGrid>
      <w:tr>
        <w:tblPrEx>
          <w:shd w:val="clear" w:color="auto" w:fill="cdd4e9"/>
        </w:tblPrEx>
        <w:trPr>
          <w:trHeight w:val="84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widowControl w:val="0"/>
              <w:spacing w:before="40" w:after="40"/>
              <w:jc w:val="center"/>
            </w:pPr>
            <w:r>
              <w:rPr>
                <w:rFonts w:ascii="Arial" w:hAnsi="Arial"/>
                <w:b w:val="1"/>
                <w:bCs w:val="1"/>
                <w:sz w:val="24"/>
                <w:szCs w:val="24"/>
                <w:shd w:val="nil" w:color="auto" w:fill="auto"/>
                <w:rtl w:val="0"/>
                <w:lang w:val="en-US"/>
              </w:rPr>
              <w:t>Chemical or Constituent (and reporting units)</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widowControl w:val="0"/>
              <w:spacing w:before="40" w:after="40"/>
              <w:jc w:val="center"/>
            </w:pPr>
            <w:r>
              <w:rPr>
                <w:rFonts w:ascii="Arial" w:hAnsi="Arial"/>
                <w:b w:val="1"/>
                <w:bCs w:val="1"/>
                <w:sz w:val="24"/>
                <w:szCs w:val="24"/>
                <w:shd w:val="nil" w:color="auto" w:fill="auto"/>
                <w:rtl w:val="0"/>
                <w:lang w:val="en-US"/>
              </w:rPr>
              <w:t>Sample Date</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widowControl w:val="0"/>
              <w:spacing w:before="40" w:after="40"/>
              <w:jc w:val="center"/>
            </w:pPr>
            <w:r>
              <w:rPr>
                <w:rFonts w:ascii="Arial" w:hAnsi="Arial"/>
                <w:b w:val="1"/>
                <w:bCs w:val="1"/>
                <w:sz w:val="24"/>
                <w:szCs w:val="24"/>
                <w:shd w:val="nil" w:color="auto" w:fill="auto"/>
                <w:rtl w:val="0"/>
                <w:lang w:val="en-US"/>
              </w:rPr>
              <w:t>Level Detected</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widowControl w:val="0"/>
              <w:spacing w:before="40" w:after="40"/>
              <w:jc w:val="center"/>
            </w:pPr>
            <w:r>
              <w:rPr>
                <w:rFonts w:ascii="Arial" w:hAnsi="Arial"/>
                <w:b w:val="1"/>
                <w:bCs w:val="1"/>
                <w:sz w:val="24"/>
                <w:szCs w:val="24"/>
                <w:shd w:val="nil" w:color="auto" w:fill="auto"/>
                <w:rtl w:val="0"/>
                <w:lang w:val="en-US"/>
              </w:rPr>
              <w:t>Range of Detections</w:t>
            </w: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widowControl w:val="0"/>
              <w:spacing w:before="40" w:after="40"/>
              <w:jc w:val="center"/>
            </w:pPr>
            <w:r>
              <w:rPr>
                <w:rFonts w:ascii="Arial" w:hAnsi="Arial"/>
                <w:b w:val="1"/>
                <w:bCs w:val="1"/>
                <w:sz w:val="24"/>
                <w:szCs w:val="24"/>
                <w:shd w:val="nil" w:color="auto" w:fill="auto"/>
                <w:rtl w:val="0"/>
                <w:lang w:val="en-US"/>
              </w:rPr>
              <w:t>Notification Level</w:t>
            </w:r>
          </w:p>
        </w:tc>
        <w:tc>
          <w:tcPr>
            <w:tcW w:type="dxa" w:w="24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widowControl w:val="0"/>
              <w:spacing w:before="40" w:after="40"/>
              <w:jc w:val="center"/>
            </w:pPr>
            <w:r>
              <w:rPr>
                <w:rFonts w:ascii="Arial" w:hAnsi="Arial"/>
                <w:b w:val="1"/>
                <w:bCs w:val="1"/>
                <w:sz w:val="24"/>
                <w:szCs w:val="24"/>
                <w:shd w:val="nil" w:color="auto" w:fill="auto"/>
                <w:rtl w:val="0"/>
                <w:lang w:val="en-US"/>
              </w:rPr>
              <w:t xml:space="preserve">Health Effects </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Contaminant]</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Date]</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No.]</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Range]</w:t>
            </w: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No.]</w:t>
            </w:r>
          </w:p>
        </w:tc>
        <w:tc>
          <w:tcPr>
            <w:tcW w:type="dxa" w:w="24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Contaminant]</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Date]</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No.]</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Range]</w:t>
            </w: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No.]</w:t>
            </w:r>
          </w:p>
        </w:tc>
        <w:tc>
          <w:tcPr>
            <w:tcW w:type="dxa" w:w="24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r>
        <w:tblPrEx>
          <w:shd w:val="clear" w:color="auto" w:fill="cdd4e9"/>
        </w:tblPrEx>
        <w:trPr>
          <w:trHeight w:val="562" w:hRule="atLeast"/>
        </w:trPr>
        <w:tc>
          <w:tcPr>
            <w:tcW w:type="dxa" w:w="2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Contaminant]</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Date]</w:t>
            </w:r>
          </w:p>
        </w:tc>
        <w:tc>
          <w:tcPr>
            <w:tcW w:type="dxa" w:w="13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No.]</w:t>
            </w:r>
          </w:p>
        </w:tc>
        <w:tc>
          <w:tcPr>
            <w:tcW w:type="dxa" w:w="15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Range]</w:t>
            </w:r>
          </w:p>
        </w:tc>
        <w:tc>
          <w:tcPr>
            <w:tcW w:type="dxa" w:w="1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No.]</w:t>
            </w:r>
          </w:p>
        </w:tc>
        <w:tc>
          <w:tcPr>
            <w:tcW w:type="dxa" w:w="24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bl>
    <w:p>
      <w:pPr>
        <w:pStyle w:val="caption"/>
        <w:widowControl w:val="0"/>
      </w:pP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Additional General Information on Drinking Water</w:t>
      </w:r>
    </w:p>
    <w:p>
      <w:pPr>
        <w:pStyle w:val="Body Text"/>
        <w:tabs>
          <w:tab w:val="left" w:pos="9900"/>
        </w:tabs>
        <w:spacing w:before="0" w:after="240"/>
        <w:jc w:val="left"/>
        <w:rPr>
          <w:rFonts w:ascii="Arial" w:cs="Arial" w:hAnsi="Arial" w:eastAsia="Arial"/>
          <w:sz w:val="24"/>
          <w:szCs w:val="24"/>
        </w:rPr>
      </w:pPr>
      <w:r>
        <w:rPr>
          <w:rFonts w:ascii="Arial" w:hAnsi="Arial"/>
          <w:sz w:val="24"/>
          <w:szCs w:val="24"/>
          <w:rtl w:val="0"/>
          <w:lang w:val="en-US"/>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w:t>
      </w:r>
      <w:r>
        <w:rPr>
          <w:rFonts w:ascii="Arial" w:hAnsi="Arial" w:hint="default"/>
          <w:sz w:val="24"/>
          <w:szCs w:val="24"/>
          <w:rtl w:val="0"/>
          <w:lang w:val="en-US"/>
        </w:rPr>
        <w:t>’</w:t>
      </w:r>
      <w:r>
        <w:rPr>
          <w:rFonts w:ascii="Arial" w:hAnsi="Arial"/>
          <w:sz w:val="24"/>
          <w:szCs w:val="24"/>
          <w:rtl w:val="0"/>
          <w:lang w:val="en-US"/>
        </w:rPr>
        <w:t>s Safe Drinking Water Hotline (1-800-426-4791).</w:t>
      </w:r>
    </w:p>
    <w:p>
      <w:pPr>
        <w:pStyle w:val="Body Text"/>
        <w:spacing w:before="0" w:after="240"/>
        <w:jc w:val="left"/>
        <w:rPr>
          <w:rFonts w:ascii="Arial" w:cs="Arial" w:hAnsi="Arial" w:eastAsia="Arial"/>
          <w:sz w:val="24"/>
          <w:szCs w:val="24"/>
        </w:rPr>
      </w:pPr>
      <w:r>
        <w:rPr>
          <w:rFonts w:ascii="Arial" w:hAnsi="Arial"/>
          <w:sz w:val="24"/>
          <w:szCs w:val="24"/>
          <w:rtl w:val="0"/>
          <w:lang w:val="en-US"/>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hAnsi="Arial"/>
          <w:i w:val="1"/>
          <w:iCs w:val="1"/>
          <w:sz w:val="24"/>
          <w:szCs w:val="24"/>
          <w:rtl w:val="0"/>
          <w:lang w:val="en-US"/>
        </w:rPr>
        <w:t>Cryptosporidium</w:t>
      </w:r>
      <w:r>
        <w:rPr>
          <w:rFonts w:ascii="Arial" w:hAnsi="Arial"/>
          <w:sz w:val="24"/>
          <w:szCs w:val="24"/>
          <w:rtl w:val="0"/>
          <w:lang w:val="en-US"/>
        </w:rPr>
        <w:t xml:space="preserve"> and other microbial contaminants are available from the Safe Drinking Water Hotline (1-800-426-4791).</w:t>
      </w:r>
    </w:p>
    <w:p>
      <w:pPr>
        <w:pStyle w:val="Body"/>
        <w:rPr>
          <w:rFonts w:ascii="Arial" w:cs="Arial" w:hAnsi="Arial" w:eastAsia="Arial"/>
          <w:sz w:val="24"/>
          <w:szCs w:val="24"/>
        </w:rPr>
      </w:pPr>
      <w:r>
        <w:rPr>
          <w:rFonts w:ascii="Arial" w:hAnsi="Arial"/>
          <w:sz w:val="24"/>
          <w:szCs w:val="24"/>
          <w:rtl w:val="0"/>
          <w:lang w:val="en-US"/>
        </w:rPr>
        <w:t xml:space="preserve">Lead-Specific Language: 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r>
        <w:rPr>
          <w:rStyle w:val="Hyperlink.0"/>
        </w:rPr>
        <w:fldChar w:fldCharType="begin" w:fldLock="0"/>
      </w:r>
      <w:r>
        <w:rPr>
          <w:rStyle w:val="Hyperlink.0"/>
        </w:rPr>
        <w:instrText xml:space="preserve"> HYPERLINK "http://www.epa.gov/safewater/lead"</w:instrText>
      </w:r>
      <w:r>
        <w:rPr>
          <w:rStyle w:val="Hyperlink.0"/>
        </w:rPr>
        <w:fldChar w:fldCharType="separate" w:fldLock="0"/>
      </w:r>
      <w:r>
        <w:rPr>
          <w:rStyle w:val="Hyperlink.0"/>
          <w:rtl w:val="0"/>
          <w:lang w:val="en-US"/>
        </w:rPr>
        <w:t>http://www.epa.gov/safewater/lead</w:t>
      </w:r>
      <w:r>
        <w:rPr/>
        <w:fldChar w:fldCharType="end" w:fldLock="0"/>
      </w:r>
      <w:r>
        <w:rPr>
          <w:rFonts w:ascii="Arial" w:hAnsi="Arial"/>
          <w:i w:val="1"/>
          <w:iCs w:val="1"/>
          <w:sz w:val="24"/>
          <w:szCs w:val="24"/>
          <w:rtl w:val="0"/>
        </w:rPr>
        <w:t>.</w:t>
      </w:r>
    </w:p>
    <w:p>
      <w:pPr>
        <w:pStyle w:val="Body"/>
        <w:spacing w:after="240"/>
        <w:rPr>
          <w:rFonts w:ascii="Arial" w:cs="Arial" w:hAnsi="Arial" w:eastAsia="Arial"/>
          <w:sz w:val="24"/>
          <w:szCs w:val="24"/>
        </w:rPr>
      </w:pPr>
      <w:r>
        <w:rPr>
          <w:rFonts w:ascii="Arial" w:cs="Arial" w:hAnsi="Arial" w:eastAsia="Arial"/>
          <w:sz w:val="24"/>
          <w:szCs w:val="24"/>
        </w:rPr>
        <w:br w:type="textWrapping"/>
      </w:r>
      <w:r>
        <w:rPr>
          <w:rFonts w:ascii="Arial" w:hAnsi="Arial"/>
          <w:sz w:val="24"/>
          <w:szCs w:val="24"/>
          <w:rtl w:val="0"/>
          <w:lang w:val="en-US"/>
        </w:rPr>
        <w:t xml:space="preserve">Additional Special Language for Nitrate, Arsenic, Lead, Radon, and </w:t>
      </w:r>
      <w:r>
        <w:rPr>
          <w:rFonts w:ascii="Arial" w:hAnsi="Arial"/>
          <w:i w:val="1"/>
          <w:iCs w:val="1"/>
          <w:sz w:val="24"/>
          <w:szCs w:val="24"/>
          <w:rtl w:val="0"/>
        </w:rPr>
        <w:t>Cryptosporidium</w:t>
      </w:r>
      <w:r>
        <w:rPr>
          <w:rFonts w:ascii="Arial" w:hAnsi="Arial"/>
          <w:sz w:val="24"/>
          <w:szCs w:val="24"/>
          <w:rtl w:val="0"/>
          <w:lang w:val="en-US"/>
        </w:rPr>
        <w:t>:  [Enter Additional Information Described in Instructions for SWS CCR Document]</w:t>
      </w:r>
    </w:p>
    <w:p>
      <w:pPr>
        <w:pStyle w:val="Body"/>
        <w:spacing w:after="240"/>
        <w:rPr>
          <w:rFonts w:ascii="Arial" w:cs="Arial" w:hAnsi="Arial" w:eastAsia="Arial"/>
          <w:sz w:val="24"/>
          <w:szCs w:val="24"/>
        </w:rPr>
      </w:pPr>
      <w:r>
        <w:rPr>
          <w:rFonts w:ascii="Arial" w:hAnsi="Arial"/>
          <w:sz w:val="24"/>
          <w:szCs w:val="24"/>
          <w:rtl w:val="0"/>
          <w:lang w:val="en-US"/>
        </w:rPr>
        <w:t>State Revised Total Coliform Rule (RTCR): [Enter Additional Information Described in Instructions for SWS CCR Document]</w:t>
      </w: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Summary Information for Violation of a MCL, MRDL, AL, TT, or Monitoring and Reporting Requirement</w:t>
      </w:r>
    </w:p>
    <w:p>
      <w:pPr>
        <w:pStyle w:val="caption"/>
        <w:spacing w:before="100"/>
      </w:pPr>
      <w:r>
        <w:rPr>
          <w:rtl w:val="0"/>
          <w:lang w:val="en-US"/>
        </w:rPr>
        <w:t>Table 7. Violation of a MCL, MRDL, AL, TT or Monitoring Reporting Requirement</w:t>
      </w:r>
    </w:p>
    <w:tbl>
      <w:tblPr>
        <w:tblW w:w="106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975"/>
        <w:gridCol w:w="2250"/>
        <w:gridCol w:w="1890"/>
        <w:gridCol w:w="2160"/>
        <w:gridCol w:w="2367"/>
      </w:tblGrid>
      <w:tr>
        <w:tblPrEx>
          <w:shd w:val="clear" w:color="auto" w:fill="cdd4e9"/>
        </w:tblPrEx>
        <w:trPr>
          <w:trHeight w:val="562"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Actions Taken to Correct Violation</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Health Effects Language</w:t>
            </w:r>
          </w:p>
        </w:tc>
      </w:tr>
      <w:tr>
        <w:tblPrEx>
          <w:shd w:val="clear" w:color="auto" w:fill="cdd4e9"/>
        </w:tblPrEx>
        <w:trPr>
          <w:trHeight w:val="6722"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Exceedance for</w:t>
            </w:r>
          </w:p>
          <w:p>
            <w:pPr>
              <w:pStyle w:val="Body"/>
              <w:spacing w:before="40" w:after="40"/>
            </w:pPr>
            <w:r>
              <w:rPr>
                <w:rFonts w:ascii="Arial" w:hAnsi="Arial"/>
                <w:sz w:val="24"/>
                <w:szCs w:val="24"/>
                <w:lang w:val="en-US"/>
              </w:rPr>
              <w:t>Iron at well sample point.</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Believed to be sampling error</w:t>
            </w:r>
          </w:p>
          <w:p>
            <w:pPr>
              <w:pStyle w:val="Body"/>
              <w:spacing w:before="40" w:after="40"/>
            </w:pPr>
            <w:r>
              <w:rPr>
                <w:rFonts w:ascii="Arial" w:hAnsi="Arial"/>
                <w:sz w:val="24"/>
                <w:szCs w:val="24"/>
                <w:lang w:val="en-US"/>
              </w:rPr>
              <w:t xml:space="preserve">due to galvanized pipe dead end at sampling point. Sample point is water source at well. </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 xml:space="preserve">1 sample then 2 good follow up samples, then another exceedence on third follow up sample.(9 months later) </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Following initial exceedance 4 consecutive quarterly follow-up samples are required. Additional sample was tested at storage tank which showed non-detect. This confirms that the water you are drinking does not have detectable iron amounts. Sample tap at well has been relocated away from iron dead end. 4 additional quarterly follow up tests to follow beginning in July</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lang w:val="en-US"/>
              </w:rPr>
              <w:t>None</w:t>
            </w:r>
          </w:p>
        </w:tc>
      </w:tr>
      <w:tr>
        <w:tblPrEx>
          <w:shd w:val="clear" w:color="auto" w:fill="cdd4e9"/>
        </w:tblPrEx>
        <w:trPr>
          <w:trHeight w:val="562"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Violation Type]</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Violation 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Actions Taken]</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bl>
    <w:p>
      <w:pPr>
        <w:pStyle w:val="caption"/>
        <w:widowControl w:val="0"/>
        <w:spacing w:before="100"/>
      </w:pPr>
    </w:p>
    <w:p>
      <w:pPr>
        <w:pStyle w:val="Body"/>
        <w:rPr>
          <w:rFonts w:ascii="Arial" w:cs="Arial" w:hAnsi="Arial" w:eastAsia="Arial"/>
          <w:sz w:val="24"/>
          <w:szCs w:val="24"/>
        </w:rPr>
      </w:pP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For Water Systems Providing Groundwater as a Source of Drinking Water</w:t>
      </w:r>
    </w:p>
    <w:p>
      <w:pPr>
        <w:pStyle w:val="caption"/>
        <w:keepNext w:val="0"/>
        <w:spacing w:before="0"/>
      </w:pPr>
      <w:r>
        <w:rPr>
          <w:rtl w:val="0"/>
          <w:lang w:val="en-US"/>
        </w:rPr>
        <w:t>Table 8.  Sampling Results Showing Fecal Indicator-Positive Groundwater Source Samples</w:t>
      </w:r>
    </w:p>
    <w:tbl>
      <w:tblPr>
        <w:tblW w:w="1083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515"/>
        <w:gridCol w:w="1620"/>
        <w:gridCol w:w="1440"/>
        <w:gridCol w:w="1080"/>
        <w:gridCol w:w="1440"/>
        <w:gridCol w:w="2741"/>
      </w:tblGrid>
      <w:tr>
        <w:tblPrEx>
          <w:shd w:val="clear" w:color="auto" w:fill="4472c4"/>
        </w:tblPrEx>
        <w:trPr>
          <w:trHeight w:val="1122" w:hRule="atLeast"/>
          <w:tblHeader/>
        </w:trPr>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Microbiological Contaminants (complete if fecal-indicator detected)</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line="220" w:lineRule="exact"/>
              <w:jc w:val="center"/>
            </w:pPr>
            <w:r>
              <w:rPr>
                <w:rFonts w:ascii="Arial" w:hAnsi="Arial"/>
                <w:b w:val="1"/>
                <w:bCs w:val="1"/>
                <w:sz w:val="24"/>
                <w:szCs w:val="24"/>
                <w:shd w:val="nil" w:color="auto" w:fill="auto"/>
                <w:rtl w:val="0"/>
                <w:lang w:val="en-US"/>
              </w:rPr>
              <w:t>Total No. of Detections</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Sample Dates</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MCL [MRDL]</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PHG (MCLG) [MRDLG]</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before="40" w:after="40"/>
              <w:jc w:val="center"/>
            </w:pPr>
            <w:r>
              <w:rPr>
                <w:rFonts w:ascii="Arial" w:hAnsi="Arial"/>
                <w:b w:val="1"/>
                <w:bCs w:val="1"/>
                <w:sz w:val="24"/>
                <w:szCs w:val="24"/>
                <w:shd w:val="nil" w:color="auto" w:fill="auto"/>
                <w:rtl w:val="0"/>
                <w:lang w:val="en-US"/>
              </w:rPr>
              <w:t>Typical Source of Contaminant</w:t>
            </w:r>
          </w:p>
        </w:tc>
      </w:tr>
      <w:tr>
        <w:tblPrEx>
          <w:shd w:val="clear" w:color="auto" w:fill="4472c4"/>
        </w:tblPrEx>
        <w:trPr>
          <w:trHeight w:val="602" w:hRule="atLeast"/>
          <w:tblHeader/>
        </w:trPr>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i w:val="1"/>
                <w:iCs w:val="1"/>
                <w:sz w:val="24"/>
                <w:szCs w:val="24"/>
                <w:shd w:val="nil" w:color="auto" w:fill="auto"/>
                <w:rtl w:val="0"/>
                <w:lang w:val="en-US"/>
              </w:rPr>
              <w:t>E. coli</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rPr>
                <w:rFonts w:ascii="Arial" w:cs="Arial" w:hAnsi="Arial" w:eastAsia="Arial"/>
                <w:sz w:val="24"/>
                <w:szCs w:val="24"/>
                <w:shd w:val="nil" w:color="auto" w:fill="auto"/>
              </w:rPr>
            </w:pPr>
            <w:r>
              <w:rPr>
                <w:rFonts w:ascii="Arial" w:hAnsi="Arial"/>
                <w:sz w:val="24"/>
                <w:szCs w:val="24"/>
                <w:shd w:val="nil" w:color="auto" w:fill="auto"/>
                <w:rtl w:val="0"/>
                <w:lang w:val="en-US"/>
              </w:rPr>
              <w:t>(In the year)</w:t>
            </w:r>
          </w:p>
          <w:p>
            <w:pPr>
              <w:pStyle w:val="Body"/>
              <w:bidi w:val="0"/>
              <w:spacing w:before="40" w:after="40"/>
              <w:ind w:left="0" w:right="0" w:firstLine="0"/>
              <w:jc w:val="center"/>
              <w:rPr>
                <w:rtl w:val="0"/>
              </w:rPr>
            </w:pPr>
            <w:r>
              <w:rPr>
                <w:rFonts w:ascii="Arial" w:hAnsi="Arial"/>
                <w:sz w:val="24"/>
                <w:szCs w:val="24"/>
                <w:shd w:val="nil" w:color="auto" w:fill="auto"/>
                <w:rtl w:val="0"/>
                <w:lang w:val="en-US"/>
              </w:rPr>
              <w:t>[Enter No.]</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Dates]</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0</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(0)</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Human and animal fecal waste</w:t>
            </w:r>
          </w:p>
        </w:tc>
      </w:tr>
      <w:tr>
        <w:tblPrEx>
          <w:shd w:val="clear" w:color="auto" w:fill="4472c4"/>
        </w:tblPrEx>
        <w:trPr>
          <w:trHeight w:val="602" w:hRule="atLeast"/>
          <w:tblHeader/>
        </w:trPr>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Enterococci</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rPr>
                <w:rFonts w:ascii="Arial" w:cs="Arial" w:hAnsi="Arial" w:eastAsia="Arial"/>
                <w:sz w:val="24"/>
                <w:szCs w:val="24"/>
                <w:shd w:val="nil" w:color="auto" w:fill="auto"/>
              </w:rPr>
            </w:pPr>
            <w:r>
              <w:rPr>
                <w:rFonts w:ascii="Arial" w:hAnsi="Arial"/>
                <w:sz w:val="24"/>
                <w:szCs w:val="24"/>
                <w:shd w:val="nil" w:color="auto" w:fill="auto"/>
                <w:rtl w:val="0"/>
                <w:lang w:val="en-US"/>
              </w:rPr>
              <w:t>(In the year)</w:t>
            </w:r>
          </w:p>
          <w:p>
            <w:pPr>
              <w:pStyle w:val="Body"/>
              <w:bidi w:val="0"/>
              <w:spacing w:before="40" w:after="40"/>
              <w:ind w:left="0" w:right="0" w:firstLine="0"/>
              <w:jc w:val="center"/>
              <w:rPr>
                <w:rtl w:val="0"/>
              </w:rPr>
            </w:pPr>
            <w:r>
              <w:rPr>
                <w:rFonts w:ascii="Arial" w:hAnsi="Arial"/>
                <w:sz w:val="24"/>
                <w:szCs w:val="24"/>
                <w:shd w:val="nil" w:color="auto" w:fill="auto"/>
                <w:rtl w:val="0"/>
                <w:lang w:val="en-US"/>
              </w:rPr>
              <w:t>[Enter No.]</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Dates]</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TT</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N/A</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Human and animal fecal waste</w:t>
            </w:r>
          </w:p>
        </w:tc>
      </w:tr>
      <w:tr>
        <w:tblPrEx>
          <w:shd w:val="clear" w:color="auto" w:fill="cdd4e9"/>
        </w:tblPrEx>
        <w:trPr>
          <w:trHeight w:val="602" w:hRule="atLeast"/>
        </w:trPr>
        <w:tc>
          <w:tcPr>
            <w:tcW w:type="dxa" w:w="25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Coliphage</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rPr>
                <w:rFonts w:ascii="Arial" w:cs="Arial" w:hAnsi="Arial" w:eastAsia="Arial"/>
                <w:sz w:val="24"/>
                <w:szCs w:val="24"/>
                <w:shd w:val="nil" w:color="auto" w:fill="auto"/>
              </w:rPr>
            </w:pPr>
            <w:r>
              <w:rPr>
                <w:rFonts w:ascii="Arial" w:hAnsi="Arial"/>
                <w:sz w:val="24"/>
                <w:szCs w:val="24"/>
                <w:shd w:val="nil" w:color="auto" w:fill="auto"/>
                <w:rtl w:val="0"/>
                <w:lang w:val="en-US"/>
              </w:rPr>
              <w:t>(In the year)</w:t>
            </w:r>
          </w:p>
          <w:p>
            <w:pPr>
              <w:pStyle w:val="Body"/>
              <w:bidi w:val="0"/>
              <w:spacing w:before="40" w:after="40"/>
              <w:ind w:left="0" w:right="0" w:firstLine="0"/>
              <w:jc w:val="center"/>
              <w:rPr>
                <w:rtl w:val="0"/>
              </w:rPr>
            </w:pPr>
            <w:r>
              <w:rPr>
                <w:rFonts w:ascii="Arial" w:hAnsi="Arial"/>
                <w:sz w:val="24"/>
                <w:szCs w:val="24"/>
                <w:shd w:val="nil" w:color="auto" w:fill="auto"/>
                <w:rtl w:val="0"/>
                <w:lang w:val="en-US"/>
              </w:rPr>
              <w:t>[Enter No.]</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[Enter Dates]</w:t>
            </w:r>
          </w:p>
        </w:tc>
        <w:tc>
          <w:tcPr>
            <w:tcW w:type="dxa" w:w="1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TT</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jc w:val="center"/>
            </w:pPr>
            <w:r>
              <w:rPr>
                <w:rFonts w:ascii="Arial" w:hAnsi="Arial"/>
                <w:sz w:val="24"/>
                <w:szCs w:val="24"/>
                <w:shd w:val="nil" w:color="auto" w:fill="auto"/>
                <w:rtl w:val="0"/>
                <w:lang w:val="en-US"/>
              </w:rPr>
              <w:t>N/A</w:t>
            </w:r>
          </w:p>
        </w:tc>
        <w:tc>
          <w:tcPr>
            <w:tcW w:type="dxa" w:w="2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Human and animal fecal waste</w:t>
            </w:r>
          </w:p>
        </w:tc>
      </w:tr>
    </w:tbl>
    <w:p>
      <w:pPr>
        <w:pStyle w:val="caption"/>
        <w:keepNext w:val="0"/>
        <w:widowControl w:val="0"/>
        <w:spacing w:before="0"/>
      </w:pPr>
    </w:p>
    <w:p>
      <w:pPr>
        <w:pStyle w:val="Heading 3"/>
        <w:rPr>
          <w:outline w:val="0"/>
          <w:color w:val="000000"/>
          <w:sz w:val="28"/>
          <w:szCs w:val="28"/>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Summary Information for Fecal Indicator-Positive Groundwater Source Samples, Uncorrected Significant Deficiencies, or Violation of a Groundwater TT</w:t>
      </w:r>
    </w:p>
    <w:tbl>
      <w:tblPr>
        <w:tblW w:w="1079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0790"/>
      </w:tblGrid>
      <w:tr>
        <w:tblPrEx>
          <w:shd w:val="clear" w:color="auto" w:fill="cdd4e9"/>
        </w:tblPrEx>
        <w:trPr>
          <w:trHeight w:val="562" w:hRule="atLeast"/>
        </w:trPr>
        <w:tc>
          <w:tcPr>
            <w:tcW w:type="dxa" w:w="107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40"/>
            </w:pPr>
            <w:r>
              <w:rPr>
                <w:rFonts w:ascii="Arial" w:hAnsi="Arial"/>
                <w:b w:val="1"/>
                <w:bCs w:val="1"/>
                <w:sz w:val="24"/>
                <w:szCs w:val="24"/>
                <w:shd w:val="nil" w:color="auto" w:fill="auto"/>
                <w:rtl w:val="0"/>
                <w:lang w:val="en-US"/>
              </w:rPr>
              <w:t>Special Notice of Fecal Indicator-Positive Groundwater Source Sample:</w:t>
            </w:r>
            <w:r>
              <w:rPr>
                <w:rFonts w:ascii="Arial" w:hAnsi="Arial"/>
                <w:sz w:val="24"/>
                <w:szCs w:val="24"/>
                <w:shd w:val="nil" w:color="auto" w:fill="auto"/>
                <w:rtl w:val="0"/>
                <w:lang w:val="en-US"/>
              </w:rPr>
              <w:t xml:space="preserve"> [Enter Special Notice of Fecal Indicator-Positive Groundwater Source Sample]</w:t>
            </w:r>
          </w:p>
        </w:tc>
      </w:tr>
    </w:tbl>
    <w:p>
      <w:pPr>
        <w:pStyle w:val="Heading 3"/>
        <w:widowControl w:val="0"/>
        <w:rPr>
          <w:outline w:val="0"/>
          <w:color w:val="000000"/>
          <w:sz w:val="28"/>
          <w:szCs w:val="28"/>
          <w:u w:color="000000"/>
          <w14:textFill>
            <w14:solidFill>
              <w14:srgbClr w14:val="000000"/>
            </w14:solidFill>
          </w14:textFill>
        </w:rPr>
      </w:pPr>
    </w:p>
    <w:p>
      <w:pPr>
        <w:pStyle w:val="Body"/>
        <w:spacing w:after="100"/>
        <w:rPr>
          <w:rFonts w:ascii="Arial" w:cs="Arial" w:hAnsi="Arial" w:eastAsia="Arial"/>
          <w:sz w:val="24"/>
          <w:szCs w:val="24"/>
        </w:rPr>
      </w:pPr>
    </w:p>
    <w:tbl>
      <w:tblPr>
        <w:tblW w:w="1079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0790"/>
      </w:tblGrid>
      <w:tr>
        <w:tblPrEx>
          <w:shd w:val="clear" w:color="auto" w:fill="cdd4e9"/>
        </w:tblPrEx>
        <w:trPr>
          <w:trHeight w:val="562" w:hRule="atLeast"/>
        </w:trPr>
        <w:tc>
          <w:tcPr>
            <w:tcW w:type="dxa" w:w="107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40"/>
            </w:pPr>
            <w:r>
              <w:rPr>
                <w:rFonts w:ascii="Arial" w:hAnsi="Arial"/>
                <w:b w:val="1"/>
                <w:bCs w:val="1"/>
                <w:sz w:val="24"/>
                <w:szCs w:val="24"/>
                <w:shd w:val="nil" w:color="auto" w:fill="auto"/>
                <w:rtl w:val="0"/>
                <w:lang w:val="en-US"/>
              </w:rPr>
              <w:t>Special Notice for Uncorrected Significant Deficiencies:</w:t>
            </w:r>
            <w:r>
              <w:rPr>
                <w:rFonts w:ascii="Arial" w:hAnsi="Arial"/>
                <w:sz w:val="24"/>
                <w:szCs w:val="24"/>
                <w:shd w:val="nil" w:color="auto" w:fill="auto"/>
                <w:rtl w:val="0"/>
                <w:lang w:val="en-US"/>
              </w:rPr>
              <w:t xml:space="preserve"> [Enter Special Notice for Uncorrected Significant Deficiencies]</w:t>
            </w:r>
          </w:p>
        </w:tc>
      </w:tr>
    </w:tbl>
    <w:p>
      <w:pPr>
        <w:pStyle w:val="Body"/>
        <w:widowControl w:val="0"/>
        <w:spacing w:after="100"/>
        <w:rPr>
          <w:rFonts w:ascii="Arial" w:cs="Arial" w:hAnsi="Arial" w:eastAsia="Arial"/>
          <w:sz w:val="24"/>
          <w:szCs w:val="24"/>
        </w:rPr>
      </w:pPr>
    </w:p>
    <w:p>
      <w:pPr>
        <w:pStyle w:val="caption"/>
        <w:spacing w:before="100"/>
      </w:pPr>
    </w:p>
    <w:p>
      <w:pPr>
        <w:pStyle w:val="caption"/>
        <w:spacing w:before="100"/>
      </w:pPr>
      <w:r>
        <w:rPr>
          <w:rtl w:val="0"/>
          <w:lang w:val="en-US"/>
        </w:rPr>
        <w:t>Table 9. Violation of Groundwater TT</w:t>
      </w:r>
    </w:p>
    <w:tbl>
      <w:tblPr>
        <w:tblW w:w="106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975"/>
        <w:gridCol w:w="2250"/>
        <w:gridCol w:w="1890"/>
        <w:gridCol w:w="2160"/>
        <w:gridCol w:w="2367"/>
      </w:tblGrid>
      <w:tr>
        <w:tblPrEx>
          <w:shd w:val="clear" w:color="auto" w:fill="cdd4e9"/>
        </w:tblPrEx>
        <w:trPr>
          <w:trHeight w:val="562"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Actions Taken to Correct Violation</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Health Effects Language</w:t>
            </w:r>
          </w:p>
        </w:tc>
      </w:tr>
      <w:tr>
        <w:tblPrEx>
          <w:shd w:val="clear" w:color="auto" w:fill="cdd4e9"/>
        </w:tblPrEx>
        <w:trPr>
          <w:trHeight w:val="289"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spacing w:before="40" w:after="40"/>
            </w:pPr>
            <w:r>
              <w:rPr>
                <w:rFonts w:ascii="Arial" w:hAnsi="Arial"/>
                <w:sz w:val="24"/>
                <w:szCs w:val="24"/>
                <w:shd w:val="nil" w:color="auto" w:fill="auto"/>
                <w:rtl w:val="0"/>
                <w:lang w:val="en-US"/>
              </w:rPr>
              <w:t>[Enter 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spacing w:before="40" w:after="40"/>
            </w:pPr>
            <w:r>
              <w:rPr>
                <w:rFonts w:ascii="Arial" w:hAnsi="Arial"/>
                <w:sz w:val="24"/>
                <w:szCs w:val="24"/>
                <w:shd w:val="nil" w:color="auto" w:fill="auto"/>
                <w:rtl w:val="0"/>
                <w:lang w:val="en-US"/>
              </w:rPr>
              <w:t>[Enter 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spacing w:before="40" w:after="40"/>
            </w:pPr>
            <w:r>
              <w:rPr>
                <w:rFonts w:ascii="Arial" w:hAnsi="Arial"/>
                <w:sz w:val="24"/>
                <w:szCs w:val="24"/>
                <w:shd w:val="nil" w:color="auto" w:fill="auto"/>
                <w:rtl w:val="0"/>
                <w:lang w:val="en-US"/>
              </w:rPr>
              <w:t>[Enter 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spacing w:before="40" w:after="40"/>
            </w:pPr>
            <w:r>
              <w:rPr>
                <w:rFonts w:ascii="Arial" w:hAnsi="Arial"/>
                <w:sz w:val="24"/>
                <w:szCs w:val="24"/>
                <w:shd w:val="nil" w:color="auto" w:fill="auto"/>
                <w:rtl w:val="0"/>
                <w:lang w:val="en-US"/>
              </w:rPr>
              <w:t>[Enter Actions]</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spacing w:before="40" w:after="40"/>
            </w:pPr>
            <w:r>
              <w:rPr>
                <w:rFonts w:ascii="Arial" w:hAnsi="Arial"/>
                <w:sz w:val="24"/>
                <w:szCs w:val="24"/>
                <w:shd w:val="nil" w:color="auto" w:fill="auto"/>
                <w:rtl w:val="0"/>
                <w:lang w:val="en-US"/>
              </w:rPr>
              <w:t>[Enter Language]</w:t>
            </w:r>
          </w:p>
        </w:tc>
      </w:tr>
      <w:tr>
        <w:tblPrEx>
          <w:shd w:val="clear" w:color="auto" w:fill="cdd4e9"/>
        </w:tblPrEx>
        <w:trPr>
          <w:trHeight w:val="289"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Actions]</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bl>
    <w:p>
      <w:pPr>
        <w:pStyle w:val="caption"/>
        <w:widowControl w:val="0"/>
        <w:spacing w:before="100"/>
      </w:pP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For Systems Providing Surface Water as a Source of Drinking Water</w:t>
      </w:r>
    </w:p>
    <w:p>
      <w:pPr>
        <w:pStyle w:val="caption"/>
        <w:spacing w:before="120"/>
      </w:pPr>
      <w:r>
        <w:rPr>
          <w:rtl w:val="0"/>
          <w:lang w:val="en-US"/>
        </w:rPr>
        <w:t>Table 10.  Sampling Results Showing Treatment of Surface Water Sources</w:t>
      </w:r>
    </w:p>
    <w:tbl>
      <w:tblPr>
        <w:tblW w:w="1077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045"/>
        <w:gridCol w:w="6725"/>
      </w:tblGrid>
      <w:tr>
        <w:tblPrEx>
          <w:shd w:val="clear" w:color="auto" w:fill="cdd4e9"/>
        </w:tblPrEx>
        <w:trPr>
          <w:trHeight w:val="562" w:hRule="atLeast"/>
        </w:trPr>
        <w:tc>
          <w:tcPr>
            <w:tcW w:type="dxa" w:w="4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keepNext w:val="1"/>
              <w:spacing w:before="40" w:after="40"/>
            </w:pPr>
            <w:r>
              <w:rPr>
                <w:rFonts w:ascii="Arial" w:hAnsi="Arial"/>
                <w:sz w:val="24"/>
                <w:szCs w:val="24"/>
                <w:shd w:val="nil" w:color="auto" w:fill="auto"/>
                <w:rtl w:val="0"/>
                <w:lang w:val="en-US"/>
              </w:rPr>
              <w:t xml:space="preserve">Treatment Technique </w:t>
            </w:r>
            <w:r>
              <w:rPr>
                <w:rFonts w:ascii="Arial" w:hAnsi="Arial"/>
                <w:sz w:val="24"/>
                <w:szCs w:val="24"/>
                <w:shd w:val="nil" w:color="auto" w:fill="auto"/>
                <w:vertAlign w:val="superscript"/>
                <w:rtl w:val="0"/>
                <w:lang w:val="en-US"/>
              </w:rPr>
              <w:t xml:space="preserve">(a) </w:t>
            </w:r>
            <w:r>
              <w:rPr>
                <w:rFonts w:ascii="Arial" w:hAnsi="Arial"/>
                <w:sz w:val="24"/>
                <w:szCs w:val="24"/>
                <w:shd w:val="nil" w:color="auto" w:fill="auto"/>
                <w:rtl w:val="0"/>
                <w:lang w:val="en-US"/>
              </w:rPr>
              <w:t>(Type of approved filtration technology used)</w:t>
            </w:r>
          </w:p>
        </w:tc>
        <w:tc>
          <w:tcPr>
            <w:tcW w:type="dxa" w:w="67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keepNext w:val="1"/>
              <w:spacing w:before="40" w:after="40"/>
              <w:jc w:val="left"/>
            </w:pPr>
            <w:r>
              <w:rPr>
                <w:rFonts w:ascii="Arial" w:hAnsi="Arial"/>
                <w:sz w:val="24"/>
                <w:szCs w:val="24"/>
                <w:shd w:val="nil" w:color="auto" w:fill="auto"/>
                <w:rtl w:val="0"/>
                <w:lang w:val="en-US"/>
              </w:rPr>
              <w:t>[Enter Treatment Technique]</w:t>
            </w:r>
          </w:p>
        </w:tc>
      </w:tr>
      <w:tr>
        <w:tblPrEx>
          <w:shd w:val="clear" w:color="auto" w:fill="cdd4e9"/>
        </w:tblPrEx>
        <w:trPr>
          <w:trHeight w:val="2642" w:hRule="atLeast"/>
        </w:trPr>
        <w:tc>
          <w:tcPr>
            <w:tcW w:type="dxa" w:w="4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 xml:space="preserve">Turbidity Performance Standards </w:t>
            </w:r>
            <w:r>
              <w:rPr>
                <w:rFonts w:ascii="Arial" w:hAnsi="Arial"/>
                <w:sz w:val="24"/>
                <w:szCs w:val="24"/>
                <w:shd w:val="nil" w:color="auto" w:fill="auto"/>
                <w:vertAlign w:val="superscript"/>
                <w:rtl w:val="0"/>
                <w:lang w:val="en-US"/>
              </w:rPr>
              <w:t xml:space="preserve">(b) </w:t>
            </w:r>
            <w:r>
              <w:rPr>
                <w:rFonts w:ascii="Arial" w:hAnsi="Arial"/>
                <w:sz w:val="24"/>
                <w:szCs w:val="24"/>
                <w:shd w:val="nil" w:color="auto" w:fill="auto"/>
                <w:rtl w:val="0"/>
                <w:lang w:val="en-US"/>
              </w:rPr>
              <w:t>(that must be met through the water treatment process)</w:t>
            </w:r>
          </w:p>
        </w:tc>
        <w:tc>
          <w:tcPr>
            <w:tcW w:type="dxa" w:w="67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spacing w:before="40" w:after="40"/>
              <w:jc w:val="left"/>
              <w:rPr>
                <w:rFonts w:ascii="Arial" w:cs="Arial" w:hAnsi="Arial" w:eastAsia="Arial"/>
                <w:sz w:val="24"/>
                <w:szCs w:val="24"/>
                <w:shd w:val="nil" w:color="auto" w:fill="auto"/>
              </w:rPr>
            </w:pPr>
            <w:r>
              <w:rPr>
                <w:rFonts w:ascii="Arial" w:hAnsi="Arial"/>
                <w:sz w:val="24"/>
                <w:szCs w:val="24"/>
                <w:shd w:val="nil" w:color="auto" w:fill="auto"/>
                <w:rtl w:val="0"/>
                <w:lang w:val="en-US"/>
              </w:rPr>
              <w:t>Turbidity of the filtered water must:</w:t>
            </w:r>
          </w:p>
          <w:p>
            <w:pPr>
              <w:pStyle w:val="Body Text"/>
              <w:bidi w:val="0"/>
              <w:spacing w:before="40" w:after="40"/>
              <w:ind w:left="16" w:right="0" w:firstLine="0"/>
              <w:jc w:val="left"/>
              <w:rPr>
                <w:rFonts w:ascii="Arial" w:cs="Arial" w:hAnsi="Arial" w:eastAsia="Arial"/>
                <w:sz w:val="24"/>
                <w:szCs w:val="24"/>
                <w:shd w:val="nil" w:color="auto" w:fill="auto"/>
                <w:rtl w:val="0"/>
              </w:rPr>
            </w:pPr>
            <w:r>
              <w:rPr>
                <w:rFonts w:ascii="Arial" w:hAnsi="Arial"/>
                <w:sz w:val="24"/>
                <w:szCs w:val="24"/>
                <w:shd w:val="nil" w:color="auto" w:fill="auto"/>
                <w:rtl w:val="0"/>
                <w:lang w:val="en-US"/>
              </w:rPr>
              <w:t xml:space="preserve">1 </w:t>
            </w:r>
            <w:r>
              <w:rPr>
                <w:rFonts w:ascii="Arial" w:hAnsi="Arial" w:hint="default"/>
                <w:sz w:val="24"/>
                <w:szCs w:val="24"/>
                <w:shd w:val="nil" w:color="auto" w:fill="auto"/>
                <w:rtl w:val="0"/>
                <w:lang w:val="en-US"/>
              </w:rPr>
              <w:t xml:space="preserve">– </w:t>
            </w:r>
            <w:r>
              <w:rPr>
                <w:rFonts w:ascii="Arial" w:hAnsi="Arial"/>
                <w:sz w:val="24"/>
                <w:szCs w:val="24"/>
                <w:shd w:val="nil" w:color="auto" w:fill="auto"/>
                <w:rtl w:val="0"/>
                <w:lang w:val="en-US"/>
              </w:rPr>
              <w:t>Be less than or equal to [Enter Turbidity Performance Standard to Be Less Than or Equal to 95% of Measurements in a Month] NTU in 95% of measurements in a month.</w:t>
            </w:r>
          </w:p>
          <w:p>
            <w:pPr>
              <w:pStyle w:val="Body Text"/>
              <w:bidi w:val="0"/>
              <w:spacing w:before="40" w:after="40"/>
              <w:ind w:left="16" w:right="0" w:firstLine="0"/>
              <w:jc w:val="left"/>
              <w:rPr>
                <w:rFonts w:ascii="Arial" w:cs="Arial" w:hAnsi="Arial" w:eastAsia="Arial"/>
                <w:sz w:val="24"/>
                <w:szCs w:val="24"/>
                <w:shd w:val="nil" w:color="auto" w:fill="auto"/>
                <w:rtl w:val="0"/>
              </w:rPr>
            </w:pPr>
            <w:r>
              <w:rPr>
                <w:rFonts w:ascii="Arial" w:hAnsi="Arial"/>
                <w:sz w:val="24"/>
                <w:szCs w:val="24"/>
                <w:shd w:val="nil" w:color="auto" w:fill="auto"/>
                <w:rtl w:val="0"/>
                <w:lang w:val="en-US"/>
              </w:rPr>
              <w:t xml:space="preserve">2 </w:t>
            </w:r>
            <w:r>
              <w:rPr>
                <w:rFonts w:ascii="Arial" w:hAnsi="Arial" w:hint="default"/>
                <w:sz w:val="24"/>
                <w:szCs w:val="24"/>
                <w:shd w:val="nil" w:color="auto" w:fill="auto"/>
                <w:rtl w:val="0"/>
                <w:lang w:val="en-US"/>
              </w:rPr>
              <w:t xml:space="preserve">– </w:t>
            </w:r>
            <w:r>
              <w:rPr>
                <w:rFonts w:ascii="Arial" w:hAnsi="Arial"/>
                <w:sz w:val="24"/>
                <w:szCs w:val="24"/>
                <w:shd w:val="nil" w:color="auto" w:fill="auto"/>
                <w:rtl w:val="0"/>
                <w:lang w:val="en-US"/>
              </w:rPr>
              <w:t>Not exceed [Enter Turbidity Performance Standard Not to Be Exceeded for More Than Eight Consecutive Hours] NTU for more than eight consecutive hours.</w:t>
            </w:r>
          </w:p>
          <w:p>
            <w:pPr>
              <w:pStyle w:val="Body Text"/>
              <w:bidi w:val="0"/>
              <w:spacing w:before="40" w:after="40"/>
              <w:ind w:left="0" w:right="0" w:firstLine="0"/>
              <w:jc w:val="left"/>
              <w:rPr>
                <w:rtl w:val="0"/>
              </w:rPr>
            </w:pPr>
            <w:r>
              <w:rPr>
                <w:rFonts w:ascii="Arial" w:hAnsi="Arial"/>
                <w:sz w:val="24"/>
                <w:szCs w:val="24"/>
                <w:shd w:val="nil" w:color="auto" w:fill="auto"/>
                <w:rtl w:val="0"/>
                <w:lang w:val="en-US"/>
              </w:rPr>
              <w:t xml:space="preserve">3 </w:t>
            </w:r>
            <w:r>
              <w:rPr>
                <w:rFonts w:ascii="Arial" w:hAnsi="Arial" w:hint="default"/>
                <w:sz w:val="24"/>
                <w:szCs w:val="24"/>
                <w:shd w:val="nil" w:color="auto" w:fill="auto"/>
                <w:rtl w:val="0"/>
                <w:lang w:val="en-US"/>
              </w:rPr>
              <w:t xml:space="preserve">– </w:t>
            </w:r>
            <w:r>
              <w:rPr>
                <w:rFonts w:ascii="Arial" w:hAnsi="Arial"/>
                <w:sz w:val="24"/>
                <w:szCs w:val="24"/>
                <w:shd w:val="nil" w:color="auto" w:fill="auto"/>
                <w:rtl w:val="0"/>
                <w:lang w:val="en-US"/>
              </w:rPr>
              <w:t>Not exceed [Enter Turbidity Performance Standard Not to Be Exceeded at Any Time] NTU at any time.</w:t>
            </w:r>
          </w:p>
        </w:tc>
      </w:tr>
      <w:tr>
        <w:tblPrEx>
          <w:shd w:val="clear" w:color="auto" w:fill="cdd4e9"/>
        </w:tblPrEx>
        <w:trPr>
          <w:trHeight w:val="842" w:hRule="atLeast"/>
        </w:trPr>
        <w:tc>
          <w:tcPr>
            <w:tcW w:type="dxa" w:w="4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Lowest monthly percentage of samples that met Turbidity Performance Standard No. 1.</w:t>
            </w:r>
          </w:p>
        </w:tc>
        <w:tc>
          <w:tcPr>
            <w:tcW w:type="dxa" w:w="67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spacing w:before="40" w:after="40"/>
              <w:jc w:val="left"/>
            </w:pPr>
            <w:r>
              <w:rPr>
                <w:rFonts w:ascii="Arial" w:hAnsi="Arial"/>
                <w:sz w:val="24"/>
                <w:szCs w:val="24"/>
                <w:shd w:val="nil" w:color="auto" w:fill="auto"/>
                <w:rtl w:val="0"/>
                <w:lang w:val="en-US"/>
              </w:rPr>
              <w:t>[Enter No.]</w:t>
            </w:r>
          </w:p>
        </w:tc>
      </w:tr>
      <w:tr>
        <w:tblPrEx>
          <w:shd w:val="clear" w:color="auto" w:fill="cdd4e9"/>
        </w:tblPrEx>
        <w:trPr>
          <w:trHeight w:val="562" w:hRule="atLeast"/>
        </w:trPr>
        <w:tc>
          <w:tcPr>
            <w:tcW w:type="dxa" w:w="4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Highest single turbidity measurement during the year</w:t>
            </w:r>
          </w:p>
        </w:tc>
        <w:tc>
          <w:tcPr>
            <w:tcW w:type="dxa" w:w="67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spacing w:before="40" w:after="40"/>
              <w:jc w:val="left"/>
            </w:pPr>
            <w:r>
              <w:rPr>
                <w:rFonts w:ascii="Arial" w:hAnsi="Arial"/>
                <w:sz w:val="24"/>
                <w:szCs w:val="24"/>
                <w:shd w:val="nil" w:color="auto" w:fill="auto"/>
                <w:rtl w:val="0"/>
                <w:lang w:val="en-US"/>
              </w:rPr>
              <w:t>[Enter No.]</w:t>
            </w:r>
          </w:p>
        </w:tc>
      </w:tr>
      <w:tr>
        <w:tblPrEx>
          <w:shd w:val="clear" w:color="auto" w:fill="cdd4e9"/>
        </w:tblPrEx>
        <w:trPr>
          <w:trHeight w:val="562" w:hRule="atLeast"/>
        </w:trPr>
        <w:tc>
          <w:tcPr>
            <w:tcW w:type="dxa" w:w="4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Number of violations of any surface water treatment requirements</w:t>
            </w:r>
          </w:p>
        </w:tc>
        <w:tc>
          <w:tcPr>
            <w:tcW w:type="dxa" w:w="67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spacing w:before="40" w:after="40"/>
              <w:jc w:val="left"/>
            </w:pPr>
            <w:r>
              <w:rPr>
                <w:rFonts w:ascii="Arial" w:hAnsi="Arial"/>
                <w:sz w:val="24"/>
                <w:szCs w:val="24"/>
                <w:shd w:val="nil" w:color="auto" w:fill="auto"/>
                <w:rtl w:val="0"/>
                <w:lang w:val="en-US"/>
              </w:rPr>
              <w:t>[Enter No.]</w:t>
            </w:r>
          </w:p>
        </w:tc>
      </w:tr>
    </w:tbl>
    <w:p>
      <w:pPr>
        <w:pStyle w:val="caption"/>
        <w:widowControl w:val="0"/>
        <w:spacing w:before="120"/>
      </w:pPr>
    </w:p>
    <w:p>
      <w:pPr>
        <w:pStyle w:val="Block Text"/>
        <w:tabs>
          <w:tab w:val="left" w:pos="360"/>
        </w:tabs>
        <w:spacing w:before="60"/>
        <w:ind w:left="360" w:right="0" w:hanging="360"/>
        <w:rPr>
          <w:rFonts w:ascii="Arial" w:cs="Arial" w:hAnsi="Arial" w:eastAsia="Arial"/>
          <w:b w:val="0"/>
          <w:bCs w:val="0"/>
          <w:sz w:val="24"/>
          <w:szCs w:val="24"/>
        </w:rPr>
      </w:pPr>
      <w:r>
        <w:rPr>
          <w:rFonts w:ascii="Arial" w:hAnsi="Arial"/>
          <w:b w:val="0"/>
          <w:bCs w:val="0"/>
          <w:sz w:val="24"/>
          <w:szCs w:val="24"/>
          <w:rtl w:val="0"/>
          <w:lang w:val="en-US"/>
        </w:rPr>
        <w:t>(a)</w:t>
        <w:tab/>
        <w:t>A required process intended to reduce the level of a contaminant in drinking water.</w:t>
      </w:r>
    </w:p>
    <w:p>
      <w:pPr>
        <w:pStyle w:val="Block Text"/>
        <w:spacing w:before="60"/>
        <w:ind w:left="0" w:right="0" w:firstLine="0"/>
        <w:rPr>
          <w:rFonts w:ascii="Arial" w:cs="Arial" w:hAnsi="Arial" w:eastAsia="Arial"/>
          <w:b w:val="0"/>
          <w:bCs w:val="0"/>
          <w:i w:val="1"/>
          <w:iCs w:val="1"/>
          <w:sz w:val="24"/>
          <w:szCs w:val="24"/>
        </w:rPr>
      </w:pPr>
      <w:r>
        <w:rPr>
          <w:rFonts w:ascii="Arial" w:hAnsi="Arial"/>
          <w:b w:val="0"/>
          <w:bCs w:val="0"/>
          <w:sz w:val="24"/>
          <w:szCs w:val="24"/>
          <w:rtl w:val="0"/>
          <w:lang w:val="en-US"/>
        </w:rPr>
        <w:t>(b) Turbidity (measured in NTU) is a measurement of the cloudiness of water and is a good indicator of water quality and filtration performance.  Turbidity results which meet performance standards are considered to be in compliance with filtration requirements.</w:t>
      </w: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Summary Information for Violation of a Surface Water TT</w:t>
      </w:r>
    </w:p>
    <w:p>
      <w:pPr>
        <w:pStyle w:val="caption"/>
        <w:spacing w:before="100"/>
      </w:pPr>
      <w:bookmarkStart w:name="_Hlk58234306" w:id="1"/>
      <w:r>
        <w:rPr>
          <w:rtl w:val="0"/>
          <w:lang w:val="en-US"/>
        </w:rPr>
        <w:t>Table 11. Violation of Surface Water TT</w:t>
      </w:r>
    </w:p>
    <w:tbl>
      <w:tblPr>
        <w:tblW w:w="1064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975"/>
        <w:gridCol w:w="2250"/>
        <w:gridCol w:w="1890"/>
        <w:gridCol w:w="2160"/>
        <w:gridCol w:w="2367"/>
      </w:tblGrid>
      <w:tr>
        <w:tblPrEx>
          <w:shd w:val="clear" w:color="auto" w:fill="cdd4e9"/>
        </w:tblPrEx>
        <w:trPr>
          <w:trHeight w:val="562"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Actions Taken to Correct Violation</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keepNext w:val="1"/>
              <w:spacing w:before="40" w:after="40"/>
              <w:jc w:val="center"/>
            </w:pPr>
            <w:r>
              <w:rPr>
                <w:rFonts w:ascii="Arial" w:hAnsi="Arial"/>
                <w:b w:val="1"/>
                <w:bCs w:val="1"/>
                <w:sz w:val="24"/>
                <w:szCs w:val="24"/>
                <w:shd w:val="nil" w:color="auto" w:fill="auto"/>
                <w:rtl w:val="0"/>
                <w:lang w:val="en-US"/>
              </w:rPr>
              <w:t>Health Effects Language</w:t>
            </w:r>
          </w:p>
        </w:tc>
      </w:tr>
      <w:tr>
        <w:tblPrEx>
          <w:shd w:val="clear" w:color="auto" w:fill="cdd4e9"/>
        </w:tblPrEx>
        <w:trPr>
          <w:trHeight w:val="289"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Actions]</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r>
        <w:tblPrEx>
          <w:shd w:val="clear" w:color="auto" w:fill="cdd4e9"/>
        </w:tblPrEx>
        <w:trPr>
          <w:trHeight w:val="289" w:hRule="atLeast"/>
        </w:trPr>
        <w:tc>
          <w:tcPr>
            <w:tcW w:type="dxa" w:w="19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Violation]</w:t>
            </w:r>
          </w:p>
        </w:tc>
        <w:tc>
          <w:tcPr>
            <w:tcW w:type="dxa" w:w="22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Explanation]</w:t>
            </w:r>
          </w:p>
        </w:tc>
        <w:tc>
          <w:tcPr>
            <w:tcW w:type="dxa" w:w="18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Duration]</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Actions]</w:t>
            </w:r>
          </w:p>
        </w:tc>
        <w:tc>
          <w:tcPr>
            <w:tcW w:type="dxa" w:w="23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40" w:after="40"/>
            </w:pPr>
            <w:r>
              <w:rPr>
                <w:rFonts w:ascii="Arial" w:hAnsi="Arial"/>
                <w:sz w:val="24"/>
                <w:szCs w:val="24"/>
                <w:shd w:val="nil" w:color="auto" w:fill="auto"/>
                <w:rtl w:val="0"/>
                <w:lang w:val="en-US"/>
              </w:rPr>
              <w:t>[Enter Language]</w:t>
            </w:r>
          </w:p>
        </w:tc>
      </w:tr>
    </w:tbl>
    <w:p>
      <w:pPr>
        <w:pStyle w:val="caption"/>
        <w:widowControl w:val="0"/>
        <w:spacing w:before="100"/>
      </w:pP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Summary Information for Operating Under a Variance or Exemption</w:t>
      </w:r>
      <w:bookmarkEnd w:id="1"/>
    </w:p>
    <w:p>
      <w:pPr>
        <w:pStyle w:val="Body"/>
        <w:spacing w:before="120" w:after="240"/>
        <w:rPr>
          <w:rFonts w:ascii="Arial" w:cs="Arial" w:hAnsi="Arial" w:eastAsia="Arial"/>
          <w:sz w:val="24"/>
          <w:szCs w:val="24"/>
        </w:rPr>
      </w:pPr>
      <w:r>
        <w:rPr>
          <w:rFonts w:ascii="Arial" w:hAnsi="Arial"/>
          <w:sz w:val="24"/>
          <w:szCs w:val="24"/>
          <w:rtl w:val="0"/>
          <w:lang w:val="en-US"/>
        </w:rPr>
        <w:t>[Enter Additional Information Described in Instructions for SWS CCR Document]</w:t>
      </w:r>
    </w:p>
    <w:p>
      <w:pPr>
        <w:pStyle w:val="Heading 3"/>
        <w:keepNext w:val="1"/>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Summary Information for Revised Total Coliform Rule Level 1 and Level 2 Assessment Requirements</w:t>
      </w:r>
    </w:p>
    <w:p>
      <w:pPr>
        <w:pStyle w:val="Body"/>
        <w:rPr>
          <w:rFonts w:ascii="Arial" w:cs="Arial" w:hAnsi="Arial" w:eastAsia="Arial"/>
          <w:sz w:val="24"/>
          <w:szCs w:val="24"/>
        </w:rPr>
      </w:pPr>
      <w:r>
        <w:rPr>
          <w:rFonts w:ascii="Arial" w:hAnsi="Arial"/>
          <w:sz w:val="24"/>
          <w:szCs w:val="24"/>
          <w:rtl w:val="0"/>
          <w:lang w:val="en-US"/>
        </w:rPr>
        <w:t xml:space="preserve">If a water system is required to comply with a Level 1 or Level 2 assessment requirement that is not due to an </w:t>
      </w:r>
      <w:r>
        <w:rPr>
          <w:rFonts w:ascii="Arial" w:hAnsi="Arial"/>
          <w:i w:val="1"/>
          <w:iCs w:val="1"/>
          <w:sz w:val="24"/>
          <w:szCs w:val="24"/>
          <w:rtl w:val="0"/>
          <w:lang w:val="it-IT"/>
        </w:rPr>
        <w:t>E. coli</w:t>
      </w:r>
      <w:r>
        <w:rPr>
          <w:rFonts w:ascii="Arial" w:hAnsi="Arial"/>
          <w:sz w:val="24"/>
          <w:szCs w:val="24"/>
          <w:rtl w:val="0"/>
          <w:lang w:val="en-US"/>
        </w:rPr>
        <w:t xml:space="preserve"> MCL violation, include the following information below [22 CCR section 64481(n)(1)].</w:t>
      </w:r>
    </w:p>
    <w:p>
      <w:pPr>
        <w:pStyle w:val="Body"/>
        <w:rPr>
          <w:rFonts w:ascii="Arial" w:cs="Arial" w:hAnsi="Arial" w:eastAsia="Arial"/>
          <w:sz w:val="24"/>
          <w:szCs w:val="24"/>
        </w:rPr>
      </w:pPr>
    </w:p>
    <w:p>
      <w:pPr>
        <w:pStyle w:val="heading 4"/>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Level 1 or Level 2 Assessment Requirement not Due to an </w:t>
      </w:r>
      <w:r>
        <w:rPr>
          <w:i w:val="1"/>
          <w:iCs w:val="1"/>
          <w:outline w:val="0"/>
          <w:color w:val="000000"/>
          <w:u w:color="000000"/>
          <w:rtl w:val="0"/>
          <w:lang w:val="en-US"/>
          <w14:textFill>
            <w14:solidFill>
              <w14:srgbClr w14:val="000000"/>
            </w14:solidFill>
          </w14:textFill>
        </w:rPr>
        <w:t>E. coli</w:t>
      </w:r>
      <w:r>
        <w:rPr>
          <w:outline w:val="0"/>
          <w:color w:val="000000"/>
          <w:u w:color="000000"/>
          <w:rtl w:val="0"/>
          <w:lang w:val="en-US"/>
          <w14:textFill>
            <w14:solidFill>
              <w14:srgbClr w14:val="000000"/>
            </w14:solidFill>
          </w14:textFill>
        </w:rPr>
        <w:t xml:space="preserve"> MCL Violation</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pacing w:before="100" w:after="240"/>
        <w:rPr>
          <w:rFonts w:ascii="Arial" w:cs="Arial" w:hAnsi="Arial" w:eastAsia="Arial"/>
          <w:sz w:val="24"/>
          <w:szCs w:val="24"/>
        </w:rPr>
      </w:pPr>
      <w:r>
        <w:rPr>
          <w:rFonts w:ascii="Arial" w:hAnsi="Arial"/>
          <w:sz w:val="24"/>
          <w:szCs w:val="24"/>
          <w:rtl w:val="0"/>
          <w:lang w:val="en-US"/>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pPr>
        <w:pStyle w:val="Body"/>
        <w:spacing w:after="240"/>
        <w:rPr>
          <w:rFonts w:ascii="Arial" w:cs="Arial" w:hAnsi="Arial" w:eastAsia="Arial"/>
          <w:sz w:val="24"/>
          <w:szCs w:val="24"/>
        </w:rPr>
      </w:pPr>
      <w:r>
        <w:rPr>
          <w:rFonts w:ascii="Arial" w:hAnsi="Arial"/>
          <w:sz w:val="24"/>
          <w:szCs w:val="24"/>
          <w:rtl w:val="0"/>
          <w:lang w:val="en-US"/>
        </w:rPr>
        <w:t>The water system shall include the following statements, as appropriate:</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pacing w:after="240"/>
        <w:rPr>
          <w:rFonts w:ascii="Arial" w:cs="Arial" w:hAnsi="Arial" w:eastAsia="Arial"/>
          <w:sz w:val="24"/>
          <w:szCs w:val="24"/>
        </w:rPr>
      </w:pPr>
      <w:r>
        <w:rPr>
          <w:rFonts w:ascii="Arial" w:hAnsi="Arial"/>
          <w:sz w:val="24"/>
          <w:szCs w:val="24"/>
          <w:rtl w:val="0"/>
          <w:lang w:val="en-US"/>
        </w:rPr>
        <w:t>During the past year we were required to conduct [Insert Number of Level 1 Assessments] Level</w:t>
      </w:r>
      <w:r>
        <w:rPr>
          <w:rFonts w:ascii="Arial" w:hAnsi="Arial" w:hint="default"/>
          <w:sz w:val="24"/>
          <w:szCs w:val="24"/>
          <w:rtl w:val="0"/>
          <w:lang w:val="en-US"/>
        </w:rPr>
        <w:t> </w:t>
      </w:r>
      <w:r>
        <w:rPr>
          <w:rFonts w:ascii="Arial" w:hAnsi="Arial"/>
          <w:sz w:val="24"/>
          <w:szCs w:val="24"/>
          <w:rtl w:val="0"/>
          <w:lang w:val="pt-PT"/>
        </w:rPr>
        <w:t>1 assessment(s).  [</w:t>
      </w:r>
      <w:bookmarkStart w:name="_Hlk534984154" w:id="2"/>
      <w:r>
        <w:rPr>
          <w:rFonts w:ascii="Arial" w:hAnsi="Arial"/>
          <w:sz w:val="24"/>
          <w:szCs w:val="24"/>
          <w:rtl w:val="0"/>
          <w:lang w:val="en-US"/>
        </w:rPr>
        <w:t>Insert Number of Level 1 Assessment</w:t>
      </w:r>
      <w:bookmarkEnd w:id="2"/>
      <w:r>
        <w:rPr>
          <w:rFonts w:ascii="Arial" w:hAnsi="Arial"/>
          <w:sz w:val="24"/>
          <w:szCs w:val="24"/>
          <w:rtl w:val="0"/>
          <w:lang w:val="en-US"/>
        </w:rPr>
        <w:t>s] Level 1 assessment(s) were completed.  In addition, we were required to take [</w:t>
      </w:r>
      <w:bookmarkStart w:name="_Hlk534984203" w:id="3"/>
      <w:r>
        <w:rPr>
          <w:rFonts w:ascii="Arial" w:hAnsi="Arial"/>
          <w:sz w:val="24"/>
          <w:szCs w:val="24"/>
          <w:rtl w:val="0"/>
          <w:lang w:val="en-US"/>
        </w:rPr>
        <w:t>Insert Number of Corrective Actions</w:t>
      </w:r>
      <w:bookmarkEnd w:id="3"/>
      <w:r>
        <w:rPr>
          <w:rFonts w:ascii="Arial" w:hAnsi="Arial"/>
          <w:sz w:val="24"/>
          <w:szCs w:val="24"/>
          <w:rtl w:val="0"/>
          <w:lang w:val="en-US"/>
        </w:rPr>
        <w:t>] corrective actions and we completed [Insert Number of Corrective Actions] of these actions.</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pacing w:after="240"/>
        <w:rPr>
          <w:rFonts w:ascii="Arial" w:cs="Arial" w:hAnsi="Arial" w:eastAsia="Arial"/>
          <w:sz w:val="24"/>
          <w:szCs w:val="24"/>
        </w:rPr>
      </w:pPr>
      <w:r>
        <w:rPr>
          <w:rFonts w:ascii="Arial" w:hAnsi="Arial"/>
          <w:sz w:val="24"/>
          <w:szCs w:val="24"/>
          <w:rtl w:val="0"/>
          <w:lang w:val="en-US"/>
        </w:rPr>
        <w:t>During the past year [</w:t>
      </w:r>
      <w:bookmarkStart w:name="_Hlk535238544" w:id="4"/>
      <w:r>
        <w:rPr>
          <w:rFonts w:ascii="Arial" w:hAnsi="Arial"/>
          <w:sz w:val="24"/>
          <w:szCs w:val="24"/>
          <w:rtl w:val="0"/>
          <w:lang w:val="en-US"/>
        </w:rPr>
        <w:t>Insert Number of Level 2 Assessment</w:t>
      </w:r>
      <w:bookmarkEnd w:id="4"/>
      <w:r>
        <w:rPr>
          <w:rFonts w:ascii="Arial" w:hAnsi="Arial"/>
          <w:sz w:val="24"/>
          <w:szCs w:val="24"/>
          <w:shd w:val="clear" w:color="auto" w:fill="ffff00"/>
          <w:rtl w:val="0"/>
        </w:rPr>
        <w:t>s</w:t>
      </w:r>
      <w:r>
        <w:rPr>
          <w:rFonts w:ascii="Arial" w:hAnsi="Arial"/>
          <w:sz w:val="24"/>
          <w:szCs w:val="24"/>
          <w:rtl w:val="0"/>
          <w:lang w:val="en-US"/>
        </w:rPr>
        <w:t>] Level 2 assessments were required to be completed for our water system.  [Insert Number of Level 2 Assessments] Level 2 assessments were completed.  In addition, we were required to take [</w:t>
      </w:r>
      <w:bookmarkStart w:name="_Hlk535238579" w:id="5"/>
      <w:r>
        <w:rPr>
          <w:rFonts w:ascii="Arial" w:hAnsi="Arial"/>
          <w:sz w:val="24"/>
          <w:szCs w:val="24"/>
          <w:rtl w:val="0"/>
          <w:lang w:val="en-US"/>
        </w:rPr>
        <w:t>Insert Number of Corrective Actions</w:t>
      </w:r>
      <w:bookmarkEnd w:id="5"/>
      <w:r>
        <w:rPr>
          <w:rFonts w:ascii="Arial" w:hAnsi="Arial"/>
          <w:sz w:val="24"/>
          <w:szCs w:val="24"/>
          <w:rtl w:val="0"/>
          <w:lang w:val="en-US"/>
        </w:rPr>
        <w:t>] corrective actions and we completed [Insert Number of Corrective Actions] of these actions.</w:t>
      </w:r>
    </w:p>
    <w:p>
      <w:pPr>
        <w:pStyle w:val="Body"/>
        <w:spacing w:after="240"/>
        <w:rPr>
          <w:rFonts w:ascii="Arial" w:cs="Arial" w:hAnsi="Arial" w:eastAsia="Arial"/>
          <w:sz w:val="24"/>
          <w:szCs w:val="24"/>
        </w:rPr>
      </w:pPr>
      <w:r>
        <w:rPr>
          <w:rFonts w:ascii="Arial" w:hAnsi="Arial"/>
          <w:sz w:val="24"/>
          <w:szCs w:val="24"/>
          <w:rtl w:val="0"/>
          <w:lang w:val="en-US"/>
        </w:rPr>
        <w:t>If the water system failed to complete all the required assessments or correct all identified sanitary defects, the water system is in violation of the treatment technique requirement and shall include the following statements, as appropriate:</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During the past year we failed to conduct all of the required assessment(s).</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During the past we failed to correct all identified defects that were found during the assessment.</w:t>
      </w:r>
    </w:p>
    <w:p>
      <w:pPr>
        <w:pStyle w:val="List Paragraph"/>
        <w:ind w:left="720" w:firstLine="0"/>
      </w:pPr>
    </w:p>
    <w:p>
      <w:pPr>
        <w:pStyle w:val="Body"/>
        <w:spacing w:after="240"/>
        <w:rPr>
          <w:rFonts w:ascii="Arial" w:cs="Arial" w:hAnsi="Arial" w:eastAsia="Arial"/>
          <w:sz w:val="24"/>
          <w:szCs w:val="24"/>
        </w:rPr>
      </w:pPr>
      <w:r>
        <w:rPr>
          <w:rFonts w:ascii="Arial" w:hAnsi="Arial"/>
          <w:sz w:val="24"/>
          <w:szCs w:val="24"/>
          <w:rtl w:val="0"/>
          <w:lang w:val="en-US"/>
        </w:rPr>
        <w:t>[For Violation of the Total Coliform Bacteria TT Requirement, Enter Additional Information Described in Instructions for SWS CCR Document]</w:t>
      </w:r>
    </w:p>
    <w:p>
      <w:pPr>
        <w:pStyle w:val="Body"/>
        <w:spacing w:after="240"/>
      </w:pPr>
      <w:r>
        <w:rPr>
          <w:rFonts w:ascii="Arial" w:hAnsi="Arial"/>
          <w:sz w:val="24"/>
          <w:szCs w:val="24"/>
          <w:rtl w:val="0"/>
          <w:lang w:val="en-US"/>
        </w:rPr>
        <w:t xml:space="preserve">If a water system is required to comply with a Level 2 assessment requirement that is due to an </w:t>
      </w:r>
      <w:r>
        <w:rPr>
          <w:rFonts w:ascii="Arial" w:hAnsi="Arial"/>
          <w:i w:val="1"/>
          <w:iCs w:val="1"/>
          <w:sz w:val="24"/>
          <w:szCs w:val="24"/>
          <w:rtl w:val="0"/>
          <w:lang w:val="it-IT"/>
        </w:rPr>
        <w:t>E. coli</w:t>
      </w:r>
      <w:r>
        <w:rPr>
          <w:rtl w:val="0"/>
        </w:rPr>
        <w:t xml:space="preserve"> </w:t>
      </w:r>
      <w:r>
        <w:rPr>
          <w:rFonts w:ascii="Arial" w:hAnsi="Arial"/>
          <w:sz w:val="24"/>
          <w:szCs w:val="24"/>
          <w:rtl w:val="0"/>
          <w:lang w:val="en-US"/>
        </w:rPr>
        <w:t>MCL violation, include the information below [22 CCR section 64481(n)(2)].</w:t>
      </w:r>
    </w:p>
    <w:p>
      <w:pPr>
        <w:pStyle w:val="heading 4"/>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Level 2 Assessment Requirement Due to an </w:t>
      </w:r>
      <w:r>
        <w:rPr>
          <w:i w:val="1"/>
          <w:iCs w:val="1"/>
          <w:outline w:val="0"/>
          <w:color w:val="000000"/>
          <w:u w:color="000000"/>
          <w:rtl w:val="0"/>
          <w:lang w:val="en-US"/>
          <w14:textFill>
            <w14:solidFill>
              <w14:srgbClr w14:val="000000"/>
            </w14:solidFill>
          </w14:textFill>
        </w:rPr>
        <w:t>E. coli</w:t>
      </w:r>
      <w:r>
        <w:rPr>
          <w:outline w:val="0"/>
          <w:color w:val="000000"/>
          <w:u w:color="000000"/>
          <w:rtl w:val="0"/>
          <w:lang w:val="en-US"/>
          <w14:textFill>
            <w14:solidFill>
              <w14:srgbClr w14:val="000000"/>
            </w14:solidFill>
          </w14:textFill>
        </w:rPr>
        <w:t xml:space="preserve"> MCL Violation</w:t>
      </w:r>
    </w:p>
    <w:p>
      <w:pPr>
        <w:pStyle w:val="Body"/>
        <w:keepNext w:val="1"/>
        <w:keepLines w:val="1"/>
        <w:pBdr>
          <w:top w:val="single" w:color="000000" w:sz="4" w:space="0" w:shadow="0" w:frame="0"/>
          <w:left w:val="single" w:color="000000" w:sz="4" w:space="0" w:shadow="0" w:frame="0"/>
          <w:bottom w:val="single" w:color="000000" w:sz="4" w:space="0" w:shadow="0" w:frame="0"/>
          <w:right w:val="single" w:color="000000" w:sz="4" w:space="0" w:shadow="0" w:frame="0"/>
        </w:pBdr>
        <w:spacing w:after="240"/>
        <w:rPr>
          <w:rFonts w:ascii="Arial" w:cs="Arial" w:hAnsi="Arial" w:eastAsia="Arial"/>
          <w:sz w:val="24"/>
          <w:szCs w:val="24"/>
        </w:rPr>
      </w:pPr>
      <w:r>
        <w:rPr>
          <w:rFonts w:ascii="Arial" w:hAnsi="Arial"/>
          <w:i w:val="1"/>
          <w:iCs w:val="1"/>
          <w:sz w:val="24"/>
          <w:szCs w:val="24"/>
          <w:rtl w:val="0"/>
          <w:lang w:val="it-IT"/>
        </w:rPr>
        <w:t>E. coli</w:t>
      </w:r>
      <w:r>
        <w:rPr>
          <w:rFonts w:ascii="Arial" w:hAnsi="Arial"/>
          <w:sz w:val="24"/>
          <w:szCs w:val="24"/>
          <w:rtl w:val="0"/>
          <w:lang w:val="en-US"/>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Pr>
          <w:rFonts w:ascii="Arial" w:hAnsi="Arial"/>
          <w:i w:val="1"/>
          <w:iCs w:val="1"/>
          <w:sz w:val="24"/>
          <w:szCs w:val="24"/>
          <w:rtl w:val="0"/>
          <w:lang w:val="it-IT"/>
        </w:rPr>
        <w:t>E. coli</w:t>
      </w:r>
      <w:r>
        <w:rPr>
          <w:rFonts w:ascii="Arial" w:hAnsi="Arial"/>
          <w:sz w:val="24"/>
          <w:szCs w:val="24"/>
          <w:rtl w:val="0"/>
          <w:lang w:val="en-US"/>
        </w:rPr>
        <w:t xml:space="preserve"> bacteria, indicating the need to look for potential problems in water treatment or distribution.  When this occurs, we are required to conduct assessment(s) identify problems and to correct any problems that were found during these assessments.</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pacing w:after="240"/>
        <w:rPr>
          <w:rFonts w:ascii="Arial" w:cs="Arial" w:hAnsi="Arial" w:eastAsia="Arial"/>
          <w:sz w:val="24"/>
          <w:szCs w:val="24"/>
        </w:rPr>
      </w:pPr>
      <w:r>
        <w:rPr>
          <w:rFonts w:ascii="Arial" w:hAnsi="Arial"/>
          <w:sz w:val="24"/>
          <w:szCs w:val="24"/>
          <w:rtl w:val="0"/>
          <w:lang w:val="en-US"/>
        </w:rPr>
        <w:t xml:space="preserve">We were required to complete a Level 2 assessment because we found </w:t>
      </w:r>
      <w:r>
        <w:rPr>
          <w:rFonts w:ascii="Arial" w:hAnsi="Arial"/>
          <w:i w:val="1"/>
          <w:iCs w:val="1"/>
          <w:sz w:val="24"/>
          <w:szCs w:val="24"/>
          <w:rtl w:val="0"/>
          <w:lang w:val="it-IT"/>
        </w:rPr>
        <w:t>E. coli</w:t>
      </w:r>
      <w:r>
        <w:rPr>
          <w:rFonts w:ascii="Arial" w:hAnsi="Arial"/>
          <w:sz w:val="24"/>
          <w:szCs w:val="24"/>
          <w:rtl w:val="0"/>
          <w:lang w:val="en-US"/>
        </w:rPr>
        <w:t xml:space="preserve"> in our water system.  In addition, we were required to take [Insert Number of Corrective Actions] corrective actions and we completed [Insert Number of Corrective Actions] of these actions.</w:t>
      </w:r>
    </w:p>
    <w:p>
      <w:pPr>
        <w:pStyle w:val="Body"/>
        <w:spacing w:after="240"/>
        <w:rPr>
          <w:rFonts w:ascii="Arial" w:cs="Arial" w:hAnsi="Arial" w:eastAsia="Arial"/>
          <w:sz w:val="24"/>
          <w:szCs w:val="24"/>
        </w:rPr>
      </w:pPr>
      <w:r>
        <w:rPr>
          <w:rFonts w:ascii="Arial" w:hAnsi="Arial"/>
          <w:sz w:val="24"/>
          <w:szCs w:val="24"/>
          <w:rtl w:val="0"/>
          <w:lang w:val="en-US"/>
        </w:rPr>
        <w:t>If a water system failed to complete the required assessment or correct all identified sanitary defects, the water system is in violation of the treatment technique requirement and shall include the following statements, as appropriate:</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We failed to conduct the required assessment.</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We failed to correct all sanitary defects that were identified during the assessment.</w:t>
      </w:r>
    </w:p>
    <w:p>
      <w:pPr>
        <w:pStyle w:val="Body"/>
        <w:rPr>
          <w:rFonts w:ascii="Arial" w:cs="Arial" w:hAnsi="Arial" w:eastAsia="Arial"/>
          <w:i w:val="1"/>
          <w:iCs w:val="1"/>
          <w:sz w:val="24"/>
          <w:szCs w:val="24"/>
        </w:rPr>
      </w:pPr>
    </w:p>
    <w:p>
      <w:pPr>
        <w:pStyle w:val="Body"/>
        <w:spacing w:after="240"/>
        <w:rPr>
          <w:rFonts w:ascii="Arial" w:cs="Arial" w:hAnsi="Arial" w:eastAsia="Arial"/>
          <w:sz w:val="24"/>
          <w:szCs w:val="24"/>
        </w:rPr>
      </w:pPr>
      <w:r>
        <w:rPr>
          <w:rFonts w:ascii="Arial" w:hAnsi="Arial"/>
          <w:sz w:val="24"/>
          <w:szCs w:val="24"/>
          <w:rtl w:val="0"/>
          <w:lang w:val="en-US"/>
        </w:rPr>
        <w:t xml:space="preserve">If a water system detects </w:t>
      </w:r>
      <w:r>
        <w:rPr>
          <w:rFonts w:ascii="Arial" w:hAnsi="Arial"/>
          <w:i w:val="1"/>
          <w:iCs w:val="1"/>
          <w:sz w:val="24"/>
          <w:szCs w:val="24"/>
          <w:rtl w:val="0"/>
          <w:lang w:val="it-IT"/>
        </w:rPr>
        <w:t>E. coli</w:t>
      </w:r>
      <w:r>
        <w:rPr>
          <w:rFonts w:ascii="Arial" w:hAnsi="Arial"/>
          <w:sz w:val="24"/>
          <w:szCs w:val="24"/>
          <w:rtl w:val="0"/>
          <w:lang w:val="en-US"/>
        </w:rPr>
        <w:t xml:space="preserve"> and has violated the </w:t>
      </w:r>
      <w:r>
        <w:rPr>
          <w:rFonts w:ascii="Arial" w:hAnsi="Arial"/>
          <w:i w:val="1"/>
          <w:iCs w:val="1"/>
          <w:sz w:val="24"/>
          <w:szCs w:val="24"/>
          <w:rtl w:val="0"/>
          <w:lang w:val="it-IT"/>
        </w:rPr>
        <w:t>E. coli</w:t>
      </w:r>
      <w:r>
        <w:rPr>
          <w:rFonts w:ascii="Arial" w:hAnsi="Arial"/>
          <w:sz w:val="24"/>
          <w:szCs w:val="24"/>
          <w:rtl w:val="0"/>
          <w:lang w:val="en-US"/>
        </w:rPr>
        <w:t xml:space="preserve"> MCL, include one or more the following statements to describe any noncompliance, as applicable:</w:t>
      </w:r>
      <w:r>
        <w:rPr>
          <w:rtl w:val="0"/>
        </w:rPr>
        <w:t xml:space="preserve"> </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 xml:space="preserve">We had an </w:t>
      </w:r>
      <w:r>
        <w:rPr>
          <w:rFonts w:ascii="Arial" w:hAnsi="Arial"/>
          <w:i w:val="1"/>
          <w:iCs w:val="1"/>
          <w:sz w:val="24"/>
          <w:szCs w:val="24"/>
          <w:rtl w:val="0"/>
          <w:lang w:val="it-IT"/>
        </w:rPr>
        <w:t>E. coli</w:t>
      </w:r>
      <w:r>
        <w:rPr>
          <w:rFonts w:ascii="Arial" w:hAnsi="Arial"/>
          <w:sz w:val="24"/>
          <w:szCs w:val="24"/>
          <w:rtl w:val="0"/>
          <w:lang w:val="en-US"/>
        </w:rPr>
        <w:t>-positive repeat sample following a total coliform positive routine sample.</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 xml:space="preserve">We had a total coliform-positive repeat sample following an </w:t>
      </w:r>
      <w:r>
        <w:rPr>
          <w:rFonts w:ascii="Arial" w:hAnsi="Arial"/>
          <w:i w:val="1"/>
          <w:iCs w:val="1"/>
          <w:sz w:val="24"/>
          <w:szCs w:val="24"/>
          <w:rtl w:val="0"/>
          <w:lang w:val="it-IT"/>
        </w:rPr>
        <w:t>E. coli</w:t>
      </w:r>
      <w:r>
        <w:rPr>
          <w:rFonts w:ascii="Arial" w:hAnsi="Arial"/>
          <w:sz w:val="24"/>
          <w:szCs w:val="24"/>
          <w:rtl w:val="0"/>
          <w:lang w:val="fr-FR"/>
        </w:rPr>
        <w:t>-positive routine sample.</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 xml:space="preserve">We failed to take all required repeat samples following an </w:t>
      </w:r>
      <w:r>
        <w:rPr>
          <w:rFonts w:ascii="Arial" w:hAnsi="Arial"/>
          <w:i w:val="1"/>
          <w:iCs w:val="1"/>
          <w:sz w:val="24"/>
          <w:szCs w:val="24"/>
          <w:rtl w:val="0"/>
          <w:lang w:val="it-IT"/>
        </w:rPr>
        <w:t>E. coli</w:t>
      </w:r>
      <w:r>
        <w:rPr>
          <w:rFonts w:ascii="Arial" w:hAnsi="Arial"/>
          <w:sz w:val="24"/>
          <w:szCs w:val="24"/>
          <w:rtl w:val="0"/>
          <w:lang w:val="fr-FR"/>
        </w:rPr>
        <w:t>-positive routine sample.</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rPr>
          <w:rFonts w:ascii="Arial" w:cs="Arial" w:hAnsi="Arial" w:eastAsia="Arial"/>
          <w:sz w:val="24"/>
          <w:szCs w:val="24"/>
        </w:rPr>
      </w:pPr>
      <w:r>
        <w:rPr>
          <w:rFonts w:ascii="Arial" w:hAnsi="Arial"/>
          <w:sz w:val="24"/>
          <w:szCs w:val="24"/>
          <w:rtl w:val="0"/>
          <w:lang w:val="en-US"/>
        </w:rPr>
        <w:t xml:space="preserve">We failed to test for </w:t>
      </w:r>
      <w:r>
        <w:rPr>
          <w:rFonts w:ascii="Arial" w:hAnsi="Arial"/>
          <w:i w:val="1"/>
          <w:iCs w:val="1"/>
          <w:sz w:val="24"/>
          <w:szCs w:val="24"/>
          <w:rtl w:val="0"/>
          <w:lang w:val="it-IT"/>
        </w:rPr>
        <w:t>E. coli</w:t>
      </w:r>
      <w:r>
        <w:rPr>
          <w:rFonts w:ascii="Arial" w:hAnsi="Arial"/>
          <w:sz w:val="24"/>
          <w:szCs w:val="24"/>
          <w:rtl w:val="0"/>
          <w:lang w:val="en-US"/>
        </w:rPr>
        <w:t xml:space="preserve"> when any repeat sample tests positive for total coliform.</w:t>
      </w:r>
    </w:p>
    <w:p>
      <w:pPr>
        <w:pStyle w:val="Body"/>
        <w:rPr>
          <w:rFonts w:ascii="Arial" w:cs="Arial" w:hAnsi="Arial" w:eastAsia="Arial"/>
          <w:i w:val="1"/>
          <w:iCs w:val="1"/>
          <w:sz w:val="24"/>
          <w:szCs w:val="24"/>
        </w:rPr>
      </w:pPr>
    </w:p>
    <w:p>
      <w:pPr>
        <w:pStyle w:val="Body"/>
      </w:pPr>
      <w:r>
        <w:rPr>
          <w:rFonts w:ascii="Arial" w:hAnsi="Arial"/>
          <w:sz w:val="24"/>
          <w:szCs w:val="24"/>
          <w:rtl w:val="0"/>
          <w:lang w:val="en-US"/>
        </w:rPr>
        <w:t xml:space="preserve">[If a water system detects </w:t>
      </w:r>
      <w:r>
        <w:rPr>
          <w:rFonts w:ascii="Arial" w:hAnsi="Arial"/>
          <w:i w:val="1"/>
          <w:iCs w:val="1"/>
          <w:sz w:val="24"/>
          <w:szCs w:val="24"/>
          <w:rtl w:val="0"/>
          <w:lang w:val="it-IT"/>
        </w:rPr>
        <w:t>E. coli</w:t>
      </w:r>
      <w:r>
        <w:rPr>
          <w:rFonts w:ascii="Arial" w:hAnsi="Arial"/>
          <w:sz w:val="24"/>
          <w:szCs w:val="24"/>
          <w:rtl w:val="0"/>
          <w:lang w:val="en-US"/>
        </w:rPr>
        <w:t xml:space="preserve"> and has not violated the </w:t>
      </w:r>
      <w:r>
        <w:rPr>
          <w:rFonts w:ascii="Arial" w:hAnsi="Arial"/>
          <w:i w:val="1"/>
          <w:iCs w:val="1"/>
          <w:sz w:val="24"/>
          <w:szCs w:val="24"/>
          <w:rtl w:val="0"/>
          <w:lang w:val="it-IT"/>
        </w:rPr>
        <w:t>E. coli</w:t>
      </w:r>
      <w:r>
        <w:rPr>
          <w:rFonts w:ascii="Arial" w:hAnsi="Arial"/>
          <w:sz w:val="24"/>
          <w:szCs w:val="24"/>
          <w:rtl w:val="0"/>
          <w:lang w:val="en-US"/>
        </w:rPr>
        <w:t xml:space="preserve"> MCL, the water system may include a statement that explains that although they have detected </w:t>
      </w:r>
      <w:r>
        <w:rPr>
          <w:rFonts w:ascii="Arial" w:hAnsi="Arial"/>
          <w:i w:val="1"/>
          <w:iCs w:val="1"/>
          <w:sz w:val="24"/>
          <w:szCs w:val="24"/>
          <w:rtl w:val="0"/>
          <w:lang w:val="it-IT"/>
        </w:rPr>
        <w:t>E. coli</w:t>
      </w:r>
      <w:r>
        <w:rPr>
          <w:rFonts w:ascii="Arial" w:hAnsi="Arial"/>
          <w:sz w:val="24"/>
          <w:szCs w:val="24"/>
          <w:rtl w:val="0"/>
          <w:lang w:val="en-US"/>
        </w:rPr>
        <w:t xml:space="preserve">, they are not in violation of the </w:t>
      </w:r>
      <w:r>
        <w:rPr>
          <w:rFonts w:ascii="Arial" w:hAnsi="Arial"/>
          <w:i w:val="1"/>
          <w:iCs w:val="1"/>
          <w:sz w:val="24"/>
          <w:szCs w:val="24"/>
          <w:rtl w:val="0"/>
          <w:lang w:val="it-IT"/>
        </w:rPr>
        <w:t xml:space="preserve">E. coli </w:t>
      </w:r>
      <w:r>
        <w:rPr>
          <w:rFonts w:ascii="Arial" w:hAnsi="Arial"/>
          <w:sz w:val="24"/>
          <w:szCs w:val="24"/>
          <w:rtl w:val="0"/>
          <w:lang w:val="pt-PT"/>
        </w:rPr>
        <w:t>MCL.]</w:t>
      </w:r>
    </w:p>
    <w:sectPr>
      <w:headerReference w:type="default" r:id="rId4"/>
      <w:footerReference w:type="default" r:id="rId5"/>
      <w:pgSz w:w="12240" w:h="15840" w:orient="portrait"/>
      <w:pgMar w:top="864" w:right="720" w:bottom="864" w:left="720" w:header="432" w:footer="43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Footlight MT Light">
    <w:charset w:val="00"/>
    <w:family w:val="roman"/>
    <w:pitch w:val="default"/>
  </w:font>
  <w:font w:name="Comic Sans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10780"/>
        <w:tab w:val="clear" w:pos="4320"/>
        <w:tab w:val="clear" w:pos="8640"/>
      </w:tabs>
    </w:pPr>
    <w:r>
      <w:rPr>
        <w:rFonts w:ascii="Arial" w:hAnsi="Arial"/>
        <w:sz w:val="24"/>
        <w:szCs w:val="24"/>
        <w:rtl w:val="0"/>
        <w:lang w:val="en-US"/>
      </w:rPr>
      <w:t>SWS CCR</w:t>
      <w:tab/>
      <w:t xml:space="preserve">Revised </w:t>
    </w:r>
    <w:r>
      <w:rPr>
        <w:rFonts w:ascii="Arial" w:hAnsi="Arial"/>
        <w:sz w:val="24"/>
        <w:szCs w:val="24"/>
        <w:shd w:val="clear" w:color="auto" w:fill="ffff00"/>
        <w:rtl w:val="0"/>
        <w:lang w:val="en-US"/>
      </w:rPr>
      <w:t>January 2026</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10780"/>
        <w:tab w:val="clear" w:pos="4320"/>
        <w:tab w:val="clear" w:pos="8640"/>
      </w:tabs>
      <w:spacing w:after="480"/>
    </w:pPr>
    <w:r>
      <w:rPr>
        <w:rFonts w:ascii="Arial" w:hAnsi="Arial"/>
        <w:sz w:val="24"/>
        <w:szCs w:val="24"/>
        <w:rtl w:val="0"/>
        <w:lang w:val="en-US"/>
      </w:rPr>
      <w:t>Consumer Confidence Report</w:t>
      <w:tab/>
      <w:t xml:space="preserve">Page </w:t>
    </w:r>
    <w:r>
      <w:rPr>
        <w:rFonts w:ascii="Arial" w:cs="Arial" w:hAnsi="Arial" w:eastAsia="Arial"/>
        <w:sz w:val="24"/>
        <w:szCs w:val="24"/>
        <w:rtl w:val="0"/>
      </w:rPr>
      <w:fldChar w:fldCharType="begin" w:fldLock="0"/>
    </w:r>
    <w:r>
      <w:rPr>
        <w:rFonts w:ascii="Arial" w:cs="Arial" w:hAnsi="Arial" w:eastAsia="Arial"/>
        <w:sz w:val="24"/>
        <w:szCs w:val="24"/>
        <w:rtl w:val="0"/>
      </w:rPr>
      <w:instrText xml:space="preserve"> PAGE </w:instrText>
    </w:r>
    <w:r>
      <w:rPr>
        <w:rFonts w:ascii="Arial" w:cs="Arial" w:hAnsi="Arial" w:eastAsia="Arial"/>
        <w:sz w:val="24"/>
        <w:szCs w:val="24"/>
        <w:rtl w:val="0"/>
      </w:rPr>
      <w:fldChar w:fldCharType="separate" w:fldLock="0"/>
    </w:r>
    <w:r>
      <w:rPr>
        <w:rFonts w:ascii="Arial" w:cs="Arial" w:hAnsi="Arial" w:eastAsia="Arial"/>
        <w:sz w:val="24"/>
        <w:szCs w:val="24"/>
        <w:rtl w:val="0"/>
      </w:rPr>
    </w:r>
    <w:r>
      <w:rPr>
        <w:rFonts w:ascii="Arial" w:cs="Arial" w:hAnsi="Arial" w:eastAsia="Arial"/>
        <w:sz w:val="24"/>
        <w:szCs w:val="24"/>
        <w:rtl w:val="0"/>
      </w:rPr>
      <w:fldChar w:fldCharType="end" w:fldLock="0"/>
    </w:r>
    <w:r>
      <w:rPr>
        <w:rFonts w:ascii="Arial" w:hAnsi="Arial"/>
        <w:sz w:val="24"/>
        <w:szCs w:val="24"/>
        <w:rtl w:val="0"/>
        <w:lang w:val="en-US"/>
      </w:rPr>
      <w:t xml:space="preserve"> of </w:t>
    </w:r>
    <w:r>
      <w:rPr>
        <w:rFonts w:ascii="Arial" w:cs="Arial" w:hAnsi="Arial" w:eastAsia="Arial"/>
        <w:sz w:val="24"/>
        <w:szCs w:val="24"/>
        <w:rtl w:val="0"/>
      </w:rPr>
      <w:fldChar w:fldCharType="begin" w:fldLock="0"/>
    </w:r>
    <w:r>
      <w:rPr>
        <w:rFonts w:ascii="Arial" w:cs="Arial" w:hAnsi="Arial" w:eastAsia="Arial"/>
        <w:sz w:val="24"/>
        <w:szCs w:val="24"/>
        <w:rtl w:val="0"/>
      </w:rPr>
      <w:instrText xml:space="preserve"> NUMPAGES </w:instrText>
    </w:r>
    <w:r>
      <w:rPr>
        <w:rFonts w:ascii="Arial" w:cs="Arial" w:hAnsi="Arial" w:eastAsia="Arial"/>
        <w:sz w:val="24"/>
        <w:szCs w:val="24"/>
        <w:rtl w:val="0"/>
      </w:rPr>
      <w:fldChar w:fldCharType="separate" w:fldLock="0"/>
    </w:r>
    <w:r>
      <w:rPr>
        <w:rFonts w:ascii="Arial" w:cs="Arial" w:hAnsi="Arial" w:eastAsia="Arial"/>
        <w:sz w:val="24"/>
        <w:szCs w:val="24"/>
        <w:rtl w:val="0"/>
      </w:rPr>
    </w:r>
    <w:r>
      <w:rPr>
        <w:rFonts w:ascii="Arial" w:cs="Arial" w:hAnsi="Arial" w:eastAsia="Arial"/>
        <w:sz w:val="24"/>
        <w:szCs w:val="24"/>
        <w:rtl w:val="0"/>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36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360" w:after="24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de-D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2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Heading 3">
    <w:name w:val="Heading 3"/>
    <w:next w:val="Body"/>
    <w:pPr>
      <w:keepNext w:val="0"/>
      <w:keepLines w:val="0"/>
      <w:pageBreakBefore w:val="0"/>
      <w:widowControl w:val="1"/>
      <w:shd w:val="clear" w:color="auto" w:fill="auto"/>
      <w:suppressAutoHyphens w:val="0"/>
      <w:bidi w:val="0"/>
      <w:spacing w:before="240" w:after="240" w:line="240" w:lineRule="auto"/>
      <w:ind w:left="0" w:right="0" w:firstLine="0"/>
      <w:jc w:val="left"/>
      <w:outlineLvl w:val="2"/>
    </w:pPr>
    <w:rPr>
      <w:rFonts w:ascii="Arial" w:cs="Arial" w:hAnsi="Arial" w:eastAsia="Arial"/>
      <w:b w:val="1"/>
      <w:bCs w:val="1"/>
      <w:i w:val="0"/>
      <w:iCs w:val="0"/>
      <w:caps w:val="0"/>
      <w:smallCaps w:val="0"/>
      <w:strike w:val="0"/>
      <w:dstrike w:val="0"/>
      <w:outline w:val="0"/>
      <w:color w:val="0000ff"/>
      <w:spacing w:val="0"/>
      <w:kern w:val="0"/>
      <w:position w:val="0"/>
      <w:sz w:val="24"/>
      <w:szCs w:val="24"/>
      <w:u w:val="none" w:color="0000ff"/>
      <w:shd w:val="nil" w:color="auto" w:fill="auto"/>
      <w:vertAlign w:val="baseline"/>
      <w14:textOutline>
        <w14:noFill/>
      </w14:textOutline>
      <w14:textFill>
        <w14:solidFill>
          <w14:srgbClr w14:val="0000FF"/>
        </w14:solidFill>
      </w14:textFill>
    </w:rPr>
  </w:style>
  <w:style w:type="paragraph" w:styleId="caption">
    <w:name w:val="caption"/>
    <w:next w:val="Body"/>
    <w:pPr>
      <w:keepNext w:val="1"/>
      <w:keepLines w:val="0"/>
      <w:pageBreakBefore w:val="0"/>
      <w:widowControl w:val="1"/>
      <w:shd w:val="clear" w:color="auto" w:fill="auto"/>
      <w:suppressAutoHyphens w:val="0"/>
      <w:bidi w:val="0"/>
      <w:spacing w:before="360" w:after="120" w:line="240"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120" w:after="0" w:line="240" w:lineRule="auto"/>
      <w:ind w:left="0" w:right="0" w:firstLine="0"/>
      <w:jc w:val="both"/>
      <w:outlineLvl w:val="9"/>
    </w:pPr>
    <w:rPr>
      <w:rFonts w:ascii="Footlight MT Light" w:cs="Footlight MT Light" w:hAnsi="Footlight MT Light" w:eastAsia="Footlight MT Ligh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Arial" w:cs="Arial" w:hAnsi="Arial" w:eastAsia="Arial"/>
      <w:i w:val="1"/>
      <w:iCs w:val="1"/>
      <w:sz w:val="24"/>
      <w:szCs w:val="24"/>
    </w:rPr>
  </w:style>
  <w:style w:type="paragraph" w:styleId="Block Text">
    <w:name w:val="Block Text"/>
    <w:next w:val="Block Text"/>
    <w:pPr>
      <w:keepNext w:val="0"/>
      <w:keepLines w:val="0"/>
      <w:pageBreakBefore w:val="0"/>
      <w:widowControl w:val="1"/>
      <w:shd w:val="clear" w:color="auto" w:fill="auto"/>
      <w:suppressAutoHyphens w:val="0"/>
      <w:bidi w:val="0"/>
      <w:spacing w:before="0" w:after="0" w:line="240" w:lineRule="auto"/>
      <w:ind w:left="810" w:right="1350" w:hanging="180"/>
      <w:jc w:val="left"/>
      <w:outlineLvl w:val="9"/>
    </w:pPr>
    <w:rPr>
      <w:rFonts w:ascii="Comic Sans MS" w:cs="Arial Unicode MS" w:hAnsi="Comic Sans MS" w:eastAsia="Arial Unicode MS"/>
      <w:b w:val="1"/>
      <w:bCs w:val="1"/>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paragraph" w:styleId="heading 4">
    <w:name w:val="heading 4"/>
    <w:next w:val="Body"/>
    <w:pPr>
      <w:keepNext w:val="1"/>
      <w:keepLines w:val="1"/>
      <w:pageBreakBefore w:val="0"/>
      <w:widowControl w:val="1"/>
      <w:shd w:val="clear" w:color="auto" w:fill="auto"/>
      <w:suppressAutoHyphens w:val="0"/>
      <w:bidi w:val="0"/>
      <w:spacing w:before="0" w:after="24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