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30B3AA02">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00C159A3">
        <w:rPr>
          <w:rFonts w:ascii="Arial" w:hAnsi="Arial" w:cs="Arial"/>
          <w:sz w:val="24"/>
          <w:szCs w:val="24"/>
        </w:rPr>
        <w:t>Easton Presbyterian Church CA</w:t>
      </w:r>
      <w:r w:rsidRPr="005162DE" w:rsidR="00494C7A">
        <w:rPr>
          <w:rFonts w:ascii="Arial" w:hAnsi="Arial" w:cs="Arial"/>
          <w:sz w:val="24"/>
          <w:szCs w:val="24"/>
        </w:rPr>
        <w:t xml:space="preserve"> </w:t>
      </w:r>
      <w:r w:rsidR="00C159A3">
        <w:rPr>
          <w:rFonts w:ascii="Arial" w:hAnsi="Arial" w:cs="Arial"/>
          <w:sz w:val="24"/>
          <w:szCs w:val="24"/>
        </w:rPr>
        <w:t>1000415</w:t>
      </w:r>
    </w:p>
    <w:p w:rsidRPr="005162DE" w:rsidR="003A4CAA" w:rsidP="0092687A" w:rsidRDefault="00ED7919" w14:paraId="65A99AB1" w14:textId="6E071545">
      <w:pPr>
        <w:spacing w:after="240"/>
        <w:rPr>
          <w:rFonts w:ascii="Arial" w:hAnsi="Arial" w:cs="Arial"/>
          <w:sz w:val="24"/>
          <w:szCs w:val="24"/>
        </w:rPr>
      </w:pPr>
      <w:r w:rsidRPr="005162DE">
        <w:rPr>
          <w:rFonts w:ascii="Arial" w:hAnsi="Arial" w:cs="Arial"/>
          <w:sz w:val="24"/>
          <w:szCs w:val="24"/>
        </w:rPr>
        <w:t>Rep</w:t>
      </w:r>
      <w:r w:rsidRPr="005162DE" w:rsidR="003A4CAA">
        <w:rPr>
          <w:rFonts w:ascii="Arial" w:hAnsi="Arial" w:cs="Arial"/>
          <w:sz w:val="24"/>
          <w:szCs w:val="24"/>
        </w:rPr>
        <w:t>ort Date:</w:t>
      </w:r>
      <w:r w:rsidRPr="005162DE">
        <w:rPr>
          <w:rFonts w:ascii="Arial" w:hAnsi="Arial" w:cs="Arial"/>
          <w:sz w:val="24"/>
          <w:szCs w:val="24"/>
        </w:rPr>
        <w:t xml:space="preserve"> </w:t>
      </w:r>
      <w:r w:rsidR="00C159A3">
        <w:rPr>
          <w:rFonts w:ascii="Arial" w:hAnsi="Arial" w:cs="Arial"/>
          <w:sz w:val="24"/>
          <w:szCs w:val="24"/>
        </w:rPr>
        <w:t>June 2024</w:t>
      </w:r>
    </w:p>
    <w:p w:rsidRPr="005162DE" w:rsidR="004263A6" w:rsidP="0092687A" w:rsidRDefault="004263A6" w14:paraId="21C05768" w14:textId="70FD6375">
      <w:pPr>
        <w:spacing w:after="240"/>
        <w:rPr>
          <w:rFonts w:ascii="Arial" w:hAnsi="Arial" w:cs="Arial"/>
          <w:sz w:val="24"/>
          <w:szCs w:val="24"/>
        </w:rPr>
      </w:pPr>
      <w:r w:rsidRPr="005162DE">
        <w:rPr>
          <w:rFonts w:ascii="Arial" w:hAnsi="Arial" w:cs="Arial"/>
          <w:sz w:val="24"/>
          <w:szCs w:val="24"/>
        </w:rPr>
        <w:t xml:space="preserve">Type of Water Source(s) in Use: </w:t>
      </w:r>
      <w:r w:rsidR="00C159A3">
        <w:rPr>
          <w:rFonts w:ascii="Arial" w:hAnsi="Arial" w:cs="Arial"/>
          <w:sz w:val="24"/>
          <w:szCs w:val="24"/>
        </w:rPr>
        <w:t xml:space="preserve">Ground water – Well </w:t>
      </w:r>
    </w:p>
    <w:p w:rsidRPr="005162DE" w:rsidR="004263A6" w:rsidP="0092687A" w:rsidRDefault="004263A6" w14:paraId="6AE5ED8C" w14:textId="20ACE6F3">
      <w:pPr>
        <w:spacing w:after="240"/>
        <w:rPr>
          <w:rFonts w:ascii="Arial" w:hAnsi="Arial" w:cs="Arial"/>
          <w:sz w:val="24"/>
          <w:szCs w:val="24"/>
        </w:rPr>
      </w:pPr>
      <w:r w:rsidRPr="005162DE">
        <w:rPr>
          <w:rFonts w:ascii="Arial" w:hAnsi="Arial" w:cs="Arial"/>
          <w:sz w:val="24"/>
          <w:szCs w:val="24"/>
        </w:rPr>
        <w:t xml:space="preserve">Name and General Location of Source(s): </w:t>
      </w:r>
      <w:r w:rsidR="00C159A3">
        <w:rPr>
          <w:rFonts w:ascii="Arial" w:hAnsi="Arial" w:cs="Arial"/>
          <w:sz w:val="24"/>
          <w:szCs w:val="24"/>
        </w:rPr>
        <w:t>Well  - 5895 S Elm Ave Fresno Ca</w:t>
      </w:r>
    </w:p>
    <w:p w:rsidRPr="00C159A3" w:rsidR="004263A6" w:rsidP="0092687A" w:rsidRDefault="004263A6" w14:paraId="11D6F99D" w14:textId="4BEFB00F">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5162DE">
        <w:rPr>
          <w:rFonts w:ascii="Arial" w:hAnsi="Arial" w:cs="Arial"/>
          <w:sz w:val="24"/>
          <w:szCs w:val="24"/>
        </w:rPr>
        <w:t>:</w:t>
      </w:r>
      <w:r w:rsidRPr="00C159A3" w:rsidR="00C159A3">
        <w:rPr>
          <w:rFonts w:ascii="Arial" w:hAnsi="Arial" w:cs="Arial"/>
          <w:b/>
          <w:bCs/>
          <w:sz w:val="28"/>
          <w:szCs w:val="28"/>
        </w:rPr>
        <w:t xml:space="preserve"> </w:t>
      </w:r>
      <w:r w:rsidRPr="00C159A3" w:rsidR="00C159A3">
        <w:rPr>
          <w:rFonts w:ascii="Arial" w:hAnsi="Arial" w:cs="Arial"/>
          <w:sz w:val="24"/>
          <w:szCs w:val="24"/>
        </w:rPr>
        <w:t>Conducted by the County in 2002.  The well is considered vulnerable to known plumes, underground storage tanks – confirmed leaking tanks.</w:t>
      </w:r>
    </w:p>
    <w:p w:rsidRPr="005162DE" w:rsidR="004263A6" w:rsidP="0092687A" w:rsidRDefault="004263A6" w14:paraId="55CC3D7E" w14:textId="0CF76853">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C159A3">
        <w:rPr>
          <w:rFonts w:ascii="Arial" w:hAnsi="Arial" w:cs="Arial"/>
          <w:sz w:val="24"/>
          <w:szCs w:val="24"/>
        </w:rPr>
        <w:t>3</w:t>
      </w:r>
      <w:r w:rsidRPr="00C159A3" w:rsidR="00C159A3">
        <w:rPr>
          <w:rFonts w:ascii="Arial" w:hAnsi="Arial" w:cs="Arial"/>
          <w:sz w:val="24"/>
          <w:szCs w:val="24"/>
          <w:vertAlign w:val="superscript"/>
        </w:rPr>
        <w:t>rd</w:t>
      </w:r>
      <w:r w:rsidR="00C159A3">
        <w:rPr>
          <w:rFonts w:ascii="Arial" w:hAnsi="Arial" w:cs="Arial"/>
          <w:sz w:val="24"/>
          <w:szCs w:val="24"/>
        </w:rPr>
        <w:t xml:space="preserve"> Tuesday of every month. </w:t>
      </w:r>
    </w:p>
    <w:p w:rsidRPr="005162DE" w:rsidR="004263A6" w:rsidP="0065365D" w:rsidRDefault="0065365D" w14:paraId="175FE9EF" w14:textId="5DB13B5A">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Pr="005162DE" w:rsidR="00A32EB0">
        <w:rPr>
          <w:rFonts w:ascii="Arial" w:hAnsi="Arial" w:cs="Arial"/>
          <w:sz w:val="24"/>
          <w:szCs w:val="24"/>
        </w:rPr>
        <w:t>:</w:t>
      </w:r>
      <w:r w:rsidR="00C159A3">
        <w:rPr>
          <w:rFonts w:ascii="Arial" w:hAnsi="Arial" w:cs="Arial"/>
          <w:sz w:val="24"/>
          <w:szCs w:val="24"/>
        </w:rPr>
        <w:t xml:space="preserve"> Marianne, 559-266-0695</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4AD79C99">
      <w:pPr>
        <w:rPr>
          <w:rFonts w:ascii="Arial" w:hAnsi="Arial" w:cs="Arial"/>
          <w:sz w:val="24"/>
          <w:szCs w:val="24"/>
        </w:rPr>
      </w:pPr>
      <w:r w:rsidRPr="6A8C1BA6" w:rsidR="6A8C1BA6">
        <w:rPr>
          <w:rFonts w:ascii="Arial" w:hAnsi="Arial" w:cs="Arial"/>
          <w:sz w:val="24"/>
          <w:szCs w:val="24"/>
        </w:rPr>
        <w:t>We test the drinking water quality for many constituents as required by state and federal regulations</w:t>
      </w:r>
      <w:r w:rsidRPr="6A8C1BA6" w:rsidR="6A8C1BA6">
        <w:rPr>
          <w:rFonts w:ascii="Arial" w:hAnsi="Arial" w:cs="Arial"/>
          <w:sz w:val="24"/>
          <w:szCs w:val="24"/>
        </w:rPr>
        <w:t xml:space="preserve">.  </w:t>
      </w:r>
      <w:r w:rsidRPr="6A8C1BA6" w:rsidR="6A8C1BA6">
        <w:rPr>
          <w:rFonts w:ascii="Arial" w:hAnsi="Arial" w:cs="Arial"/>
          <w:sz w:val="24"/>
          <w:szCs w:val="24"/>
        </w:rPr>
        <w:t>This report shows the results of our monitoring for the period of January 1 to December 31, 2023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60F8BC60">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00E23DBD">
        <w:rPr>
          <w:rFonts w:ascii="Arial" w:hAnsi="Arial" w:cs="Arial"/>
          <w:sz w:val="24"/>
          <w:szCs w:val="24"/>
          <w:lang w:val="es-MX"/>
        </w:rPr>
        <w:t>Easton Presbyterian Church</w:t>
      </w:r>
      <w:r w:rsidRPr="005162DE" w:rsidR="00442D66">
        <w:rPr>
          <w:rFonts w:ascii="Arial" w:hAnsi="Arial" w:cs="Arial"/>
          <w:sz w:val="24"/>
          <w:szCs w:val="24"/>
          <w:lang w:val="es-MX"/>
        </w:rPr>
        <w:t xml:space="preserve"> a </w:t>
      </w:r>
      <w:r w:rsidR="00E23DBD">
        <w:rPr>
          <w:rFonts w:ascii="Arial" w:hAnsi="Arial" w:cs="Arial"/>
          <w:sz w:val="24"/>
          <w:szCs w:val="24"/>
          <w:lang w:val="es-MX"/>
        </w:rPr>
        <w:t xml:space="preserve">5895 S Elm Ave Fresno Ca 93706 </w:t>
      </w:r>
      <w:r w:rsidRPr="005162DE" w:rsidR="00442D66">
        <w:rPr>
          <w:rFonts w:ascii="Arial" w:hAnsi="Arial" w:cs="Arial"/>
          <w:sz w:val="24"/>
          <w:szCs w:val="24"/>
          <w:lang w:val="es-MX"/>
        </w:rPr>
        <w:t>para asistirlo en español.</w:t>
      </w:r>
    </w:p>
    <w:p w:rsidRPr="005162DE" w:rsidR="006672EF" w:rsidP="0092687A" w:rsidRDefault="0092687A" w14:paraId="72C2ECD4" w14:textId="36FF17AE">
      <w:pPr>
        <w:spacing w:after="180"/>
        <w:rPr>
          <w:rFonts w:ascii="Arial" w:hAnsi="Arial" w:eastAsia="PMingLiU" w:cs="Arial"/>
          <w:sz w:val="24"/>
          <w:szCs w:val="24"/>
        </w:rPr>
      </w:pPr>
      <w:r w:rsidRPr="5C2ED03D" w:rsidR="5C2ED03D">
        <w:rPr>
          <w:rFonts w:ascii="Arial" w:hAnsi="Arial" w:eastAsia="PMingLiU" w:cs="Arial"/>
          <w:sz w:val="24"/>
          <w:szCs w:val="24"/>
        </w:rPr>
        <w:t>Language in Mandarin</w:t>
      </w:r>
      <w:r w:rsidRPr="5C2ED03D" w:rsidR="5C2ED03D">
        <w:rPr>
          <w:rFonts w:ascii="Arial" w:hAnsi="Arial" w:eastAsia="PMingLiU" w:cs="Arial"/>
          <w:sz w:val="24"/>
          <w:szCs w:val="24"/>
          <w:lang w:val="es-MX"/>
        </w:rPr>
        <w:t xml:space="preserve">:  </w:t>
      </w:r>
      <w:r w:rsidRPr="5C2ED03D" w:rsidR="5C2ED03D">
        <w:rPr>
          <w:rFonts w:ascii="SimSun" w:hAnsi="SimSun" w:eastAsia="SimSun" w:cs="Arial"/>
          <w:sz w:val="24"/>
          <w:szCs w:val="24"/>
          <w:lang w:eastAsia="zh-CN"/>
        </w:rPr>
        <w:t>这份报告含有关于您的饮用水的重要讯息。请用以下地址和电话联系</w:t>
      </w:r>
      <w:r w:rsidRPr="5C2ED03D" w:rsidR="5C2ED03D">
        <w:rPr>
          <w:rFonts w:ascii="Arial" w:hAnsi="Arial" w:eastAsia="PMingLiU" w:cs="Arial"/>
          <w:sz w:val="24"/>
          <w:szCs w:val="24"/>
        </w:rPr>
        <w:t xml:space="preserve"> Easton Presbyterian Church </w:t>
      </w:r>
      <w:r w:rsidRPr="5C2ED03D" w:rsidR="5C2ED03D">
        <w:rPr>
          <w:rFonts w:ascii="SimSun" w:hAnsi="SimSun" w:eastAsia="SimSun" w:cs="Arial"/>
          <w:sz w:val="24"/>
          <w:szCs w:val="24"/>
          <w:lang w:eastAsia="zh-CN"/>
        </w:rPr>
        <w:t>以获得中文的帮助</w:t>
      </w:r>
      <w:r w:rsidRPr="5C2ED03D" w:rsidR="5C2ED03D">
        <w:rPr>
          <w:rFonts w:ascii="SimSun" w:hAnsi="SimSun" w:eastAsia="SimSun" w:cs="Arial"/>
          <w:sz w:val="24"/>
          <w:szCs w:val="24"/>
        </w:rPr>
        <w:t>:</w:t>
      </w:r>
      <w:r w:rsidRPr="5C2ED03D" w:rsidR="5C2ED03D">
        <w:rPr>
          <w:rFonts w:ascii="Arial" w:hAnsi="Arial" w:eastAsia="PMingLiU" w:cs="Arial"/>
          <w:sz w:val="24"/>
          <w:szCs w:val="24"/>
        </w:rPr>
        <w:t xml:space="preserve"> 5895 S Elm Ave Fresno Ca 93706, 559-266-0695</w:t>
      </w:r>
    </w:p>
    <w:p w:rsidRPr="005162DE" w:rsidR="002436C8" w:rsidP="0092687A" w:rsidRDefault="00D10A7C" w14:paraId="7D3636E6" w14:textId="54AB83AB">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006C3FF8">
        <w:rPr>
          <w:rFonts w:ascii="Arial" w:hAnsi="Arial" w:cs="Arial"/>
          <w:sz w:val="24"/>
          <w:szCs w:val="24"/>
        </w:rPr>
        <w:t xml:space="preserve">Easton Presbyterian Church 5895 S Elm Ave Fresno Ca 93706 </w:t>
      </w:r>
      <w:r w:rsidRPr="005162DE" w:rsidR="008A64D8">
        <w:rPr>
          <w:rFonts w:ascii="Arial" w:hAnsi="Arial" w:cs="Arial"/>
          <w:sz w:val="24"/>
          <w:szCs w:val="24"/>
        </w:rPr>
        <w:t xml:space="preserve">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006C3FF8">
        <w:rPr>
          <w:rFonts w:ascii="Arial" w:hAnsi="Arial" w:cs="Arial"/>
          <w:sz w:val="24"/>
          <w:szCs w:val="24"/>
        </w:rPr>
        <w:t xml:space="preserve">559-266-0695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5D4493AF">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002240D2">
        <w:rPr>
          <w:rFonts w:ascii="Arial" w:hAnsi="Arial" w:cs="Arial"/>
          <w:sz w:val="24"/>
          <w:szCs w:val="24"/>
        </w:rPr>
        <w:t>Easton Presbyterian Church</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002240D2">
        <w:rPr>
          <w:rFonts w:ascii="Arial" w:hAnsi="Arial" w:cs="Arial"/>
          <w:sz w:val="24"/>
          <w:szCs w:val="24"/>
        </w:rPr>
        <w:t xml:space="preserve"> 5895 S Elm Ave Fresno Ca 93706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4700A89B">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r w:rsidRPr="005162DE" w:rsidR="006537F6">
        <w:rPr>
          <w:rFonts w:ascii="Arial" w:hAnsi="Arial" w:cs="Arial"/>
          <w:sz w:val="24"/>
          <w:szCs w:val="24"/>
        </w:rPr>
        <w:t>Tsab ntawv no muaj cov ntsiab lus tseem ceeb txog koj cov dej haus.  Thov hu rau</w:t>
      </w:r>
      <w:r w:rsidR="002240D2">
        <w:rPr>
          <w:rFonts w:ascii="Arial" w:hAnsi="Arial" w:cs="Arial"/>
          <w:sz w:val="24"/>
          <w:szCs w:val="24"/>
        </w:rPr>
        <w:t xml:space="preserve"> Easton Presbyterian</w:t>
      </w:r>
      <w:r w:rsidRPr="005162DE" w:rsidR="006537F6">
        <w:rPr>
          <w:rFonts w:ascii="Arial" w:hAnsi="Arial" w:cs="Arial"/>
          <w:sz w:val="24"/>
          <w:szCs w:val="24"/>
        </w:rPr>
        <w:t xml:space="preserve"> ntawm </w:t>
      </w:r>
      <w:r w:rsidR="002240D2">
        <w:rPr>
          <w:rFonts w:ascii="Arial" w:hAnsi="Arial" w:cs="Arial"/>
          <w:sz w:val="24"/>
          <w:szCs w:val="24"/>
        </w:rPr>
        <w:t xml:space="preserve">5895 S Elm Ave Fresno Ca 93706 </w:t>
      </w:r>
      <w:r w:rsidRPr="005162DE" w:rsidR="006537F6">
        <w:rPr>
          <w:rFonts w:ascii="Arial" w:hAnsi="Arial" w:cs="Arial"/>
          <w:sz w:val="24"/>
          <w:szCs w:val="24"/>
        </w:rPr>
        <w:t>rau kev pab hauv lus Askiv.</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r w:rsidRPr="005162DE">
              <w:rPr>
                <w:rFonts w:ascii="Arial" w:hAnsi="Arial" w:cs="Arial"/>
                <w:sz w:val="24"/>
                <w:szCs w:val="24"/>
              </w:rPr>
              <w:t>ppq</w:t>
            </w:r>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(pg/L)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r w:rsidRPr="005162DE">
              <w:rPr>
                <w:rFonts w:ascii="Arial" w:hAnsi="Arial" w:cs="Arial"/>
                <w:sz w:val="24"/>
                <w:szCs w:val="24"/>
              </w:rPr>
              <w:t>pCi/L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that can be naturally-occurring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naturally-occurring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5C2ED03D"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5C2ED03D"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8572DA" w:rsidP="5C2ED03D" w:rsidRDefault="008572DA" w14:paraId="4A18E97C" w14:textId="7421600B">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0</w:t>
            </w:r>
          </w:p>
        </w:tc>
        <w:tc>
          <w:tcPr>
            <w:tcW w:w="1443" w:type="dxa"/>
            <w:tcMar/>
          </w:tcPr>
          <w:p w:rsidRPr="005162DE" w:rsidR="00095AAC" w:rsidP="5C2ED03D" w:rsidRDefault="008572DA" w14:paraId="38C21B9B" w14:textId="185A4215">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0</w:t>
            </w:r>
          </w:p>
        </w:tc>
        <w:tc>
          <w:tcPr>
            <w:tcW w:w="261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5C2ED03D"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5C2ED03D"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5C2ED03D" w:rsidRDefault="00D73637" w14:paraId="12F3C5C1" w14:textId="4A44C26B">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9/25/2023</w:t>
            </w:r>
          </w:p>
          <w:p w:rsidRPr="005162DE" w:rsidR="00D73637" w:rsidP="5C2ED03D" w:rsidRDefault="00D73637" w14:paraId="2DD295B0" w14:textId="7B193912">
            <w:pPr>
              <w:pStyle w:val="Normal"/>
              <w:suppressLineNumbers w:val="0"/>
              <w:bidi w:val="0"/>
              <w:spacing w:before="40" w:beforeAutospacing="off" w:after="40" w:afterAutospacing="off" w:line="259" w:lineRule="auto"/>
              <w:ind w:left="0" w:right="0"/>
              <w:jc w:val="center"/>
              <w:rPr>
                <w:rFonts w:ascii="Arial" w:hAnsi="Arial" w:cs="Arial"/>
                <w:sz w:val="24"/>
                <w:szCs w:val="24"/>
              </w:rPr>
            </w:pPr>
          </w:p>
          <w:p w:rsidRPr="005162DE" w:rsidR="00D73637" w:rsidP="5C2ED03D" w:rsidRDefault="00D73637" w14:paraId="0A0580DD" w14:textId="5F835B1A">
            <w:pPr>
              <w:pStyle w:val="Normal"/>
              <w:suppressLineNumbers w:val="0"/>
              <w:bidi w:val="0"/>
              <w:spacing w:before="40" w:beforeAutospacing="off" w:after="40" w:afterAutospacing="off" w:line="259" w:lineRule="auto"/>
              <w:ind w:left="0" w:right="0"/>
              <w:jc w:val="center"/>
              <w:rPr>
                <w:rFonts w:ascii="Arial" w:hAnsi="Arial" w:cs="Arial"/>
                <w:sz w:val="24"/>
                <w:szCs w:val="24"/>
              </w:rPr>
            </w:pPr>
          </w:p>
        </w:tc>
        <w:tc>
          <w:tcPr>
            <w:tcW w:w="1021" w:type="dxa"/>
            <w:tcMar>
              <w:left w:w="86" w:type="dxa"/>
              <w:right w:w="86" w:type="dxa"/>
            </w:tcMar>
          </w:tcPr>
          <w:p w:rsidRPr="005162DE" w:rsidR="00D73637" w:rsidP="5C2ED03D" w:rsidRDefault="00D73637" w14:paraId="102D5A02" w14:textId="7F0D009F">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10</w:t>
            </w:r>
          </w:p>
        </w:tc>
        <w:tc>
          <w:tcPr>
            <w:tcW w:w="1123" w:type="dxa"/>
            <w:tcMar>
              <w:left w:w="86" w:type="dxa"/>
              <w:right w:w="86" w:type="dxa"/>
            </w:tcMar>
          </w:tcPr>
          <w:p w:rsidRPr="005162DE" w:rsidR="00D73637" w:rsidP="5C2ED03D" w:rsidRDefault="00D73637" w14:paraId="36E2A949" w14:textId="0933C0C3">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20</w:t>
            </w:r>
          </w:p>
        </w:tc>
        <w:tc>
          <w:tcPr>
            <w:tcW w:w="1021" w:type="dxa"/>
            <w:tcMar>
              <w:left w:w="86" w:type="dxa"/>
              <w:right w:w="86" w:type="dxa"/>
            </w:tcMar>
          </w:tcPr>
          <w:p w:rsidRPr="005162DE" w:rsidR="00D73637" w:rsidP="5C2ED03D" w:rsidRDefault="00D73637" w14:paraId="308535F4" w14:textId="5F28B7F2">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3</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5C2ED03D"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5C2ED03D" w:rsidRDefault="00D73637" w14:paraId="1E79D436" w14:textId="7CE66D59">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9/25/2023</w:t>
            </w:r>
          </w:p>
        </w:tc>
        <w:tc>
          <w:tcPr>
            <w:tcW w:w="1021" w:type="dxa"/>
            <w:tcMar>
              <w:left w:w="86" w:type="dxa"/>
              <w:right w:w="86" w:type="dxa"/>
            </w:tcMar>
          </w:tcPr>
          <w:p w:rsidRPr="005162DE" w:rsidR="00D73637" w:rsidP="5C2ED03D" w:rsidRDefault="00D73637" w14:paraId="42CEE2F3" w14:textId="4BB631A5">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10</w:t>
            </w:r>
          </w:p>
        </w:tc>
        <w:tc>
          <w:tcPr>
            <w:tcW w:w="1123" w:type="dxa"/>
            <w:tcMar>
              <w:left w:w="86" w:type="dxa"/>
              <w:right w:w="86" w:type="dxa"/>
            </w:tcMar>
          </w:tcPr>
          <w:p w:rsidRPr="005162DE" w:rsidR="00D73637" w:rsidP="5C2ED03D" w:rsidRDefault="00D73637" w14:paraId="15E55B1F" w14:textId="728D9816">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5C2ED03D" w:rsidR="5C2ED03D">
              <w:rPr>
                <w:rFonts w:ascii="Arial" w:hAnsi="Arial" w:cs="Arial"/>
                <w:sz w:val="24"/>
                <w:szCs w:val="24"/>
              </w:rPr>
              <w:t>.11</w:t>
            </w:r>
          </w:p>
        </w:tc>
        <w:tc>
          <w:tcPr>
            <w:tcW w:w="1021" w:type="dxa"/>
            <w:tcMar>
              <w:left w:w="86" w:type="dxa"/>
              <w:right w:w="86" w:type="dxa"/>
            </w:tcMar>
          </w:tcPr>
          <w:p w:rsidRPr="005162DE" w:rsidR="00D73637" w:rsidP="5C2ED03D" w:rsidRDefault="00D73637" w14:paraId="1AE57BBF" w14:textId="7331ED41">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4927A052"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4927A052" w14:paraId="0E0C1E93" w14:textId="77777777">
        <w:trPr>
          <w:trHeight w:val="432"/>
        </w:trPr>
        <w:tc>
          <w:tcPr>
            <w:tcW w:w="2250" w:type="dxa"/>
            <w:tcMar/>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4927A052" w:rsidRDefault="00684C7E" w14:paraId="2DC49168" w14:textId="2569F855">
            <w:pPr>
              <w:pStyle w:val="Normal"/>
              <w:suppressLineNumbers w:val="0"/>
              <w:bidi w:val="0"/>
              <w:spacing w:before="40" w:beforeAutospacing="off" w:after="40" w:afterAutospacing="off" w:line="259" w:lineRule="auto"/>
              <w:ind w:left="0" w:right="0"/>
              <w:jc w:val="center"/>
            </w:pPr>
            <w:r w:rsidRPr="4927A052" w:rsidR="4927A052">
              <w:rPr>
                <w:rFonts w:ascii="Arial" w:hAnsi="Arial" w:cs="Arial"/>
                <w:sz w:val="24"/>
                <w:szCs w:val="24"/>
              </w:rPr>
              <w:t>2009</w:t>
            </w:r>
          </w:p>
        </w:tc>
        <w:tc>
          <w:tcPr>
            <w:tcW w:w="1260" w:type="dxa"/>
            <w:tcMar>
              <w:left w:w="58" w:type="dxa"/>
              <w:right w:w="58" w:type="dxa"/>
            </w:tcMar>
          </w:tcPr>
          <w:p w:rsidRPr="005162DE" w:rsidR="00684C7E" w:rsidP="4927A052" w:rsidRDefault="00684C7E" w14:paraId="690B0D1C" w14:textId="4B64FF5D">
            <w:pPr>
              <w:pStyle w:val="Normal"/>
              <w:suppressLineNumbers w:val="0"/>
              <w:bidi w:val="0"/>
              <w:spacing w:before="40" w:beforeAutospacing="off" w:after="40" w:afterAutospacing="off" w:line="259" w:lineRule="auto"/>
              <w:ind w:left="0" w:right="0"/>
              <w:jc w:val="center"/>
            </w:pPr>
            <w:r w:rsidRPr="4927A052" w:rsidR="4927A052">
              <w:rPr>
                <w:rFonts w:ascii="Arial" w:hAnsi="Arial" w:cs="Arial"/>
                <w:sz w:val="24"/>
                <w:szCs w:val="24"/>
              </w:rPr>
              <w:t>26</w:t>
            </w:r>
          </w:p>
        </w:tc>
        <w:tc>
          <w:tcPr>
            <w:tcW w:w="1530" w:type="dxa"/>
            <w:tcMar>
              <w:left w:w="58" w:type="dxa"/>
              <w:right w:w="58" w:type="dxa"/>
            </w:tcMar>
          </w:tcPr>
          <w:p w:rsidRPr="005162DE" w:rsidR="00684C7E" w:rsidP="00684C7E" w:rsidRDefault="00684C7E" w14:paraId="6802CC34" w14:textId="28EB9BEF">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4927A052" w14:paraId="2ACD2463" w14:textId="77777777">
        <w:tc>
          <w:tcPr>
            <w:tcW w:w="2250" w:type="dxa"/>
            <w:tcMar/>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4927A052" w:rsidRDefault="00684C7E" w14:paraId="7A81C45D" w14:textId="00E415FA">
            <w:pPr>
              <w:pStyle w:val="Normal"/>
              <w:suppressLineNumbers w:val="0"/>
              <w:bidi w:val="0"/>
              <w:spacing w:before="40" w:beforeAutospacing="off" w:after="40" w:afterAutospacing="off" w:line="259" w:lineRule="auto"/>
              <w:ind w:left="0" w:right="0"/>
              <w:jc w:val="center"/>
            </w:pPr>
            <w:r w:rsidRPr="4927A052" w:rsidR="4927A052">
              <w:rPr>
                <w:rFonts w:ascii="Arial" w:hAnsi="Arial" w:cs="Arial"/>
                <w:sz w:val="24"/>
                <w:szCs w:val="24"/>
              </w:rPr>
              <w:t>2009</w:t>
            </w:r>
          </w:p>
        </w:tc>
        <w:tc>
          <w:tcPr>
            <w:tcW w:w="1260" w:type="dxa"/>
            <w:tcMar>
              <w:left w:w="58" w:type="dxa"/>
              <w:right w:w="58" w:type="dxa"/>
            </w:tcMar>
          </w:tcPr>
          <w:p w:rsidRPr="005162DE" w:rsidR="00684C7E" w:rsidP="4927A052" w:rsidRDefault="00684C7E" w14:paraId="5F571C45" w14:textId="03E027A2">
            <w:pPr>
              <w:pStyle w:val="Normal"/>
              <w:suppressLineNumbers w:val="0"/>
              <w:bidi w:val="0"/>
              <w:spacing w:before="40" w:beforeAutospacing="off" w:after="40" w:afterAutospacing="off" w:line="259" w:lineRule="auto"/>
              <w:ind w:left="0" w:right="0"/>
              <w:jc w:val="center"/>
            </w:pPr>
            <w:r w:rsidRPr="4927A052" w:rsidR="4927A052">
              <w:rPr>
                <w:rFonts w:ascii="Arial" w:hAnsi="Arial" w:cs="Arial"/>
                <w:sz w:val="24"/>
                <w:szCs w:val="24"/>
              </w:rPr>
              <w:t>190</w:t>
            </w:r>
          </w:p>
        </w:tc>
        <w:tc>
          <w:tcPr>
            <w:tcW w:w="1530" w:type="dxa"/>
            <w:tcMar>
              <w:left w:w="58" w:type="dxa"/>
              <w:right w:w="58" w:type="dxa"/>
            </w:tcMar>
          </w:tcPr>
          <w:p w:rsidRPr="005162DE" w:rsidR="00684C7E" w:rsidP="00684C7E" w:rsidRDefault="00684C7E" w14:paraId="2BE476FB" w14:textId="7F09FFBE">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5C2ED03D"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(and</w:t>
            </w:r>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C2ED03D" w14:paraId="7C96DD6F" w14:textId="77777777">
        <w:trPr>
          <w:trHeight w:val="432"/>
        </w:trPr>
        <w:tc>
          <w:tcPr>
            <w:tcW w:w="2245" w:type="dxa"/>
            <w:tcMar>
              <w:left w:w="58" w:type="dxa"/>
              <w:right w:w="58" w:type="dxa"/>
            </w:tcMar>
          </w:tcPr>
          <w:p w:rsidRPr="005162DE" w:rsidR="00512D8C" w:rsidP="5C2ED03D" w:rsidRDefault="00512D8C" w14:paraId="29E71AAC" w14:textId="7E0539A8">
            <w:pPr>
              <w:pStyle w:val="Normal"/>
              <w:keepNext w:val="1"/>
              <w:keepLines w:val="1"/>
              <w:suppressLineNumbers w:val="0"/>
              <w:bidi w:val="0"/>
              <w:spacing w:before="40" w:beforeAutospacing="off" w:after="40" w:afterAutospacing="off" w:line="259" w:lineRule="auto"/>
              <w:ind w:left="30" w:right="0"/>
              <w:jc w:val="both"/>
            </w:pPr>
            <w:r w:rsidRPr="5C2ED03D" w:rsidR="5C2ED03D">
              <w:rPr>
                <w:rFonts w:ascii="Arial" w:hAnsi="Arial" w:cs="Arial"/>
                <w:sz w:val="24"/>
                <w:szCs w:val="24"/>
              </w:rPr>
              <w:t>Nitrate</w:t>
            </w:r>
          </w:p>
        </w:tc>
        <w:tc>
          <w:tcPr>
            <w:tcW w:w="1440" w:type="dxa"/>
            <w:tcMar/>
          </w:tcPr>
          <w:p w:rsidRPr="005162DE" w:rsidR="00512D8C" w:rsidP="00512D8C" w:rsidRDefault="00512D8C" w14:paraId="21F7006B" w14:textId="63B8CA92">
            <w:pPr>
              <w:keepNext/>
              <w:keepLines/>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tcPr>
          <w:p w:rsidRPr="005162DE" w:rsidR="00512D8C" w:rsidP="00512D8C" w:rsidRDefault="00512D8C" w14:paraId="1BD7CABC" w14:textId="4340244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tcPr>
          <w:p w:rsidRPr="005162DE" w:rsidR="00512D8C" w:rsidP="00512D8C" w:rsidRDefault="00512D8C" w14:paraId="40895B2C" w14:textId="0EBD489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Mar/>
          </w:tcPr>
          <w:p w:rsidRPr="005162DE" w:rsidR="00512D8C" w:rsidP="00512D8C" w:rsidRDefault="00512D8C" w14:paraId="707B8EC2" w14:textId="0E9749B7">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Mar/>
          </w:tcPr>
          <w:p w:rsidRPr="005162DE" w:rsidR="00512D8C" w:rsidP="00512D8C" w:rsidRDefault="00512D8C" w14:paraId="4F209845" w14:textId="5CF39811">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Mar/>
          </w:tcPr>
          <w:p w:rsidRPr="005162DE" w:rsidR="00512D8C" w:rsidP="00512D8C" w:rsidRDefault="00512D8C" w14:paraId="307E6935" w14:textId="7665CD0A">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Pr="005162DE" w:rsidR="005162DE" w:rsidTr="5C2ED03D" w14:paraId="7E778FAF" w14:textId="77777777">
        <w:trPr>
          <w:trHeight w:val="432"/>
        </w:trPr>
        <w:tc>
          <w:tcPr>
            <w:tcW w:w="2245" w:type="dxa"/>
            <w:tcMar>
              <w:left w:w="58" w:type="dxa"/>
              <w:right w:w="58" w:type="dxa"/>
            </w:tcMar>
          </w:tcPr>
          <w:p w:rsidR="5C2ED03D" w:rsidP="5C2ED03D" w:rsidRDefault="5C2ED03D" w14:paraId="13B5655F" w14:textId="1BC15888">
            <w:pPr>
              <w:pStyle w:val="Normal"/>
              <w:spacing w:before="40" w:after="40"/>
              <w:ind w:left="187"/>
              <w:rPr>
                <w:rFonts w:ascii="Arial" w:hAnsi="Arial" w:eastAsia="Arial" w:cs="Arial"/>
                <w:noProof w:val="0"/>
                <w:sz w:val="24"/>
                <w:szCs w:val="24"/>
                <w:lang w:val="en-US"/>
              </w:rPr>
            </w:pPr>
            <w:r w:rsidRPr="5C2ED03D" w:rsidR="5C2ED0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1,2-DIBROMO-3-CHLOROPROPANE ug/l</w:t>
            </w:r>
          </w:p>
        </w:tc>
        <w:tc>
          <w:tcPr>
            <w:tcW w:w="1440" w:type="dxa"/>
            <w:tcMar/>
          </w:tcPr>
          <w:p w:rsidR="5C2ED03D" w:rsidP="5C2ED03D" w:rsidRDefault="5C2ED03D" w14:paraId="41582FCC" w14:textId="1BC419AA">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2023</w:t>
            </w:r>
          </w:p>
        </w:tc>
        <w:tc>
          <w:tcPr>
            <w:tcW w:w="1260" w:type="dxa"/>
            <w:tcMar/>
          </w:tcPr>
          <w:p w:rsidR="5C2ED03D" w:rsidP="5C2ED03D" w:rsidRDefault="5C2ED03D" w14:paraId="0E11B54E" w14:textId="044584AC">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.2</w:t>
            </w:r>
          </w:p>
        </w:tc>
        <w:tc>
          <w:tcPr>
            <w:tcW w:w="1530" w:type="dxa"/>
            <w:tcMar/>
          </w:tcPr>
          <w:p w:rsidR="5C2ED03D" w:rsidP="5C2ED03D" w:rsidRDefault="5C2ED03D" w14:paraId="5EE1E013" w14:textId="212FE027">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.19-.21</w:t>
            </w:r>
          </w:p>
        </w:tc>
        <w:tc>
          <w:tcPr>
            <w:tcW w:w="1170" w:type="dxa"/>
            <w:tcMar/>
          </w:tcPr>
          <w:p w:rsidR="5C2ED03D" w:rsidP="5C2ED03D" w:rsidRDefault="5C2ED03D" w14:paraId="17F64582" w14:textId="51906AAA">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.2</w:t>
            </w:r>
          </w:p>
        </w:tc>
        <w:tc>
          <w:tcPr>
            <w:tcW w:w="1260" w:type="dxa"/>
            <w:tcMar/>
          </w:tcPr>
          <w:p w:rsidR="5C2ED03D" w:rsidP="5C2ED03D" w:rsidRDefault="5C2ED03D" w14:paraId="3A890E59" w14:textId="07AB5ADB">
            <w:pPr>
              <w:pStyle w:val="Normal"/>
              <w:bidi w:val="0"/>
              <w:spacing w:before="40" w:beforeAutospacing="off" w:after="40" w:afterAutospacing="off" w:line="259" w:lineRule="auto"/>
              <w:ind w:left="0" w:right="0"/>
              <w:jc w:val="center"/>
            </w:pPr>
            <w:r w:rsidRPr="5C2ED03D" w:rsidR="5C2ED03D">
              <w:rPr>
                <w:rFonts w:ascii="Arial" w:hAnsi="Arial" w:eastAsia="Arial" w:cs="Arial"/>
                <w:noProof w:val="0"/>
                <w:sz w:val="24"/>
                <w:szCs w:val="24"/>
                <w:lang w:val="en-US"/>
              </w:rPr>
              <w:t>0.0017</w:t>
            </w:r>
          </w:p>
        </w:tc>
        <w:tc>
          <w:tcPr>
            <w:tcW w:w="1931" w:type="dxa"/>
            <w:tcMar/>
          </w:tcPr>
          <w:p w:rsidR="5C2ED03D" w:rsidP="5C2ED03D" w:rsidRDefault="5C2ED03D" w14:paraId="1D76BDD2" w14:textId="160B14C3">
            <w:pPr>
              <w:pStyle w:val="Normal"/>
              <w:spacing w:before="40" w:after="40"/>
            </w:pPr>
            <w:r w:rsidRPr="5C2ED03D" w:rsidR="5C2ED03D">
              <w:rPr>
                <w:rFonts w:ascii="Arial" w:hAnsi="Arial" w:eastAsia="Arial" w:cs="Arial"/>
                <w:noProof w:val="0"/>
                <w:sz w:val="24"/>
                <w:szCs w:val="24"/>
                <w:lang w:val="en-US"/>
              </w:rPr>
              <w:t>Banned nematocide that may still be present in soils due to runoff/leaching from former use on soybeans, cotton, vineyards, tomatoes, and tree fruit</w:t>
            </w:r>
          </w:p>
        </w:tc>
      </w:tr>
      <w:tr w:rsidRPr="005162DE" w:rsidR="005162DE" w:rsidTr="5C2ED03D" w14:paraId="5A2E4EDA" w14:textId="77777777">
        <w:trPr>
          <w:trHeight w:val="432"/>
        </w:trPr>
        <w:tc>
          <w:tcPr>
            <w:tcW w:w="2245" w:type="dxa"/>
            <w:tcMar>
              <w:left w:w="58" w:type="dxa"/>
              <w:right w:w="58" w:type="dxa"/>
            </w:tcMar>
          </w:tcPr>
          <w:p w:rsidR="5C2ED03D" w:rsidP="5C2ED03D" w:rsidRDefault="5C2ED03D" w14:paraId="467E870F" w14:textId="21EA62F2">
            <w:pPr>
              <w:pStyle w:val="Normal"/>
              <w:spacing w:before="40" w:after="40"/>
              <w:ind w:left="187"/>
              <w:rPr>
                <w:rFonts w:ascii="Arial" w:hAnsi="Arial" w:eastAsia="Arial" w:cs="Arial"/>
                <w:noProof w:val="0"/>
                <w:sz w:val="24"/>
                <w:szCs w:val="24"/>
                <w:lang w:val="en-US"/>
              </w:rPr>
            </w:pPr>
            <w:r w:rsidRPr="5C2ED03D" w:rsidR="5C2ED0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1,2,3-TRICHLOROPROPANE ug/l</w:t>
            </w:r>
          </w:p>
        </w:tc>
        <w:tc>
          <w:tcPr>
            <w:tcW w:w="1440" w:type="dxa"/>
            <w:tcMar/>
          </w:tcPr>
          <w:p w:rsidR="5C2ED03D" w:rsidP="5C2ED03D" w:rsidRDefault="5C2ED03D" w14:paraId="31AE8CDC" w14:textId="767539C6">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2023</w:t>
            </w:r>
          </w:p>
        </w:tc>
        <w:tc>
          <w:tcPr>
            <w:tcW w:w="1260" w:type="dxa"/>
            <w:tcMar/>
          </w:tcPr>
          <w:p w:rsidR="5C2ED03D" w:rsidP="5C2ED03D" w:rsidRDefault="5C2ED03D" w14:paraId="2C90F3A4" w14:textId="46105012">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.00657</w:t>
            </w:r>
          </w:p>
        </w:tc>
        <w:tc>
          <w:tcPr>
            <w:tcW w:w="1530" w:type="dxa"/>
            <w:tcMar/>
          </w:tcPr>
          <w:p w:rsidR="5C2ED03D" w:rsidP="5C2ED03D" w:rsidRDefault="5C2ED03D" w14:paraId="76287D06" w14:textId="183A4AF1">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ND-.011</w:t>
            </w:r>
          </w:p>
        </w:tc>
        <w:tc>
          <w:tcPr>
            <w:tcW w:w="1170" w:type="dxa"/>
            <w:tcMar/>
          </w:tcPr>
          <w:p w:rsidR="5C2ED03D" w:rsidP="5C2ED03D" w:rsidRDefault="5C2ED03D" w14:paraId="4D57529B" w14:textId="369C6228">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.005</w:t>
            </w:r>
          </w:p>
        </w:tc>
        <w:tc>
          <w:tcPr>
            <w:tcW w:w="1260" w:type="dxa"/>
            <w:tcMar/>
          </w:tcPr>
          <w:p w:rsidR="5C2ED03D" w:rsidP="5C2ED03D" w:rsidRDefault="5C2ED03D" w14:paraId="5653E368" w14:textId="4092A4A2">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ND</w:t>
            </w:r>
          </w:p>
        </w:tc>
        <w:tc>
          <w:tcPr>
            <w:tcW w:w="1931" w:type="dxa"/>
            <w:tcMar/>
          </w:tcPr>
          <w:p w:rsidR="5C2ED03D" w:rsidP="5C2ED03D" w:rsidRDefault="5C2ED03D" w14:paraId="1ED197D9" w14:textId="45035DB0">
            <w:pPr>
              <w:pStyle w:val="Normal"/>
              <w:spacing w:before="40" w:after="40"/>
            </w:pPr>
            <w:r w:rsidRPr="5C2ED03D" w:rsidR="5C2ED03D">
              <w:rPr>
                <w:rFonts w:ascii="Arial" w:hAnsi="Arial" w:eastAsia="Arial" w:cs="Arial"/>
                <w:noProof w:val="0"/>
                <w:sz w:val="24"/>
                <w:szCs w:val="24"/>
                <w:lang w:val="en-US"/>
              </w:rPr>
              <w:t>Discharge from industrial and agricultural chemical factories; leaching from hazardous waste sites; used as cleaning and maintenance solvent, paint and varnish remover, and cleaning and degreasing agent; byproduct</w:t>
            </w:r>
          </w:p>
        </w:tc>
      </w:tr>
      <w:tr w:rsidR="5C2ED03D" w:rsidTr="5C2ED03D" w14:paraId="38B610FB">
        <w:trPr>
          <w:trHeight w:val="432"/>
        </w:trPr>
        <w:tc>
          <w:tcPr>
            <w:tcW w:w="2245" w:type="dxa"/>
            <w:tcMar>
              <w:left w:w="58" w:type="dxa"/>
              <w:right w:w="58" w:type="dxa"/>
            </w:tcMar>
          </w:tcPr>
          <w:p w:rsidR="5C2ED03D" w:rsidP="5C2ED03D" w:rsidRDefault="5C2ED03D" w14:paraId="2265C80B" w14:textId="36870478">
            <w:pPr>
              <w:pStyle w:val="Normal"/>
              <w:suppressLineNumbers w:val="0"/>
              <w:bidi w:val="0"/>
              <w:spacing w:before="40" w:beforeAutospacing="off" w:after="40" w:afterAutospacing="off" w:line="259" w:lineRule="auto"/>
              <w:ind w:left="187" w:right="0"/>
              <w:jc w:val="left"/>
            </w:pPr>
            <w:r w:rsidRPr="5C2ED03D" w:rsidR="5C2ED03D">
              <w:rPr>
                <w:rFonts w:ascii="Arial" w:hAnsi="Arial" w:cs="Arial"/>
                <w:sz w:val="24"/>
                <w:szCs w:val="24"/>
              </w:rPr>
              <w:t>Nitrate mg/l</w:t>
            </w:r>
          </w:p>
        </w:tc>
        <w:tc>
          <w:tcPr>
            <w:tcW w:w="1440" w:type="dxa"/>
            <w:tcMar/>
          </w:tcPr>
          <w:p w:rsidR="5C2ED03D" w:rsidP="5C2ED03D" w:rsidRDefault="5C2ED03D" w14:paraId="5E81E781" w14:textId="1CE565C0">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2023</w:t>
            </w:r>
          </w:p>
        </w:tc>
        <w:tc>
          <w:tcPr>
            <w:tcW w:w="1260" w:type="dxa"/>
            <w:tcMar/>
          </w:tcPr>
          <w:p w:rsidR="5C2ED03D" w:rsidP="5C2ED03D" w:rsidRDefault="5C2ED03D" w14:paraId="65C5866A" w14:textId="69D6EFC0">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10.7</w:t>
            </w:r>
          </w:p>
        </w:tc>
        <w:tc>
          <w:tcPr>
            <w:tcW w:w="1530" w:type="dxa"/>
            <w:tcMar/>
          </w:tcPr>
          <w:p w:rsidR="5C2ED03D" w:rsidP="5C2ED03D" w:rsidRDefault="5C2ED03D" w14:paraId="58334E4C" w14:textId="0D3932F1">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8.5-12</w:t>
            </w:r>
          </w:p>
        </w:tc>
        <w:tc>
          <w:tcPr>
            <w:tcW w:w="1170" w:type="dxa"/>
            <w:tcMar/>
          </w:tcPr>
          <w:p w:rsidR="5C2ED03D" w:rsidP="5C2ED03D" w:rsidRDefault="5C2ED03D" w14:paraId="15F51266" w14:textId="3E336C6C">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10</w:t>
            </w:r>
          </w:p>
        </w:tc>
        <w:tc>
          <w:tcPr>
            <w:tcW w:w="1260" w:type="dxa"/>
            <w:tcMar/>
          </w:tcPr>
          <w:p w:rsidR="5C2ED03D" w:rsidP="5C2ED03D" w:rsidRDefault="5C2ED03D" w14:paraId="3613010F" w14:textId="79DE6ABD">
            <w:pPr>
              <w:pStyle w:val="Normal"/>
              <w:spacing w:before="40" w:after="40"/>
              <w:jc w:val="center"/>
              <w:rPr>
                <w:rFonts w:ascii="Arial" w:hAnsi="Arial" w:eastAsia="Arial" w:cs="Arial"/>
                <w:noProof w:val="0"/>
                <w:sz w:val="24"/>
                <w:szCs w:val="24"/>
                <w:lang w:val="en-US"/>
              </w:rPr>
            </w:pPr>
            <w:r w:rsidRPr="5C2ED03D" w:rsidR="5C2ED03D">
              <w:rPr>
                <w:rFonts w:ascii="Arial" w:hAnsi="Arial" w:eastAsia="Arial" w:cs="Arial"/>
                <w:noProof w:val="0"/>
                <w:sz w:val="24"/>
                <w:szCs w:val="24"/>
                <w:lang w:val="en-US"/>
              </w:rPr>
              <w:t>10</w:t>
            </w:r>
          </w:p>
        </w:tc>
        <w:tc>
          <w:tcPr>
            <w:tcW w:w="1931" w:type="dxa"/>
            <w:tcMar/>
          </w:tcPr>
          <w:p w:rsidR="5C2ED03D" w:rsidP="5C2ED03D" w:rsidRDefault="5C2ED03D" w14:paraId="03A17F22" w14:textId="54C012F8">
            <w:pPr>
              <w:pStyle w:val="Normal"/>
              <w:spacing w:before="40" w:after="40"/>
            </w:pPr>
            <w:r w:rsidRPr="5C2ED03D" w:rsidR="5C2ED03D">
              <w:rPr>
                <w:rFonts w:ascii="Arial" w:hAnsi="Arial" w:eastAsia="Arial" w:cs="Arial"/>
                <w:noProof w:val="0"/>
                <w:sz w:val="24"/>
                <w:szCs w:val="24"/>
                <w:lang w:val="en-US"/>
              </w:rPr>
              <w:t>Runoff and leaching from fertilizer use; leaching from septic tanks and sewage; erosion of natural deposits</w:t>
            </w:r>
          </w:p>
        </w:tc>
      </w:tr>
    </w:tbl>
    <w:p w:rsidRPr="005162DE" w:rsidR="005D3708" w:rsidP="00070C22" w:rsidRDefault="005D3708" w14:paraId="7CEB1FE7" w14:textId="0D6B728A">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5C2ED03D"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bl>
    <w:p w:rsidRPr="005162DE" w:rsidR="005D3708" w:rsidP="00875407" w:rsidRDefault="005D3708" w14:paraId="69D3A731" w14:textId="7ADAC1FE">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62BE6D57">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28190B3D" w14:textId="3371DD31">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63D0EACA" w14:textId="323F5FF7">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60CC3A19" w14:textId="4451654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15DDAE72" w14:textId="1847389F">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47A0B53" w14:textId="5173EFA4">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3DC1EC0D" w14:textId="77777777">
        <w:trPr>
          <w:trHeight w:val="432"/>
        </w:trPr>
        <w:tc>
          <w:tcPr>
            <w:tcW w:w="2245" w:type="dxa"/>
          </w:tcPr>
          <w:p w:rsidRPr="005162DE" w:rsidR="00DA4F32" w:rsidP="00DA4F32" w:rsidRDefault="00DA4F32" w14:paraId="301C4362" w14:textId="26AB019C">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4751C8FD" w14:textId="6C25BD44">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27986934" w14:textId="7EDAD13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1D08BAD2" w14:textId="2B98FA08">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72F3D657" w14:textId="26BCD0A9">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0F72AF76" w14:textId="205DB065">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55C3320E" w14:textId="77777777">
        <w:trPr>
          <w:trHeight w:val="432"/>
        </w:trPr>
        <w:tc>
          <w:tcPr>
            <w:tcW w:w="2245" w:type="dxa"/>
          </w:tcPr>
          <w:p w:rsidRPr="005162DE" w:rsidR="00DA4F32" w:rsidP="00DA4F32" w:rsidRDefault="00DA4F32" w14:paraId="7A16F9AE" w14:textId="27834D6B">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5E75790D" w14:textId="307F147C">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5BB1D6D7" w14:textId="1641B6B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508BDE41" w14:textId="720B198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20DA4FE3" w14:textId="2EDFB088">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2377CFF" w14:textId="22DB96D8">
            <w:pPr>
              <w:spacing w:before="40" w:after="40"/>
              <w:rPr>
                <w:rFonts w:ascii="Arial" w:hAnsi="Arial" w:cs="Arial"/>
                <w:sz w:val="24"/>
                <w:szCs w:val="24"/>
              </w:rPr>
            </w:pPr>
            <w:r w:rsidRPr="005162DE">
              <w:rPr>
                <w:rFonts w:ascii="Arial" w:hAnsi="Arial" w:cs="Arial"/>
                <w:sz w:val="24"/>
                <w:szCs w:val="24"/>
              </w:rPr>
              <w:t>[Enter Language]</w:t>
            </w: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568C98C2"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568C98C2" w14:paraId="4DAE6475" w14:textId="77777777">
        <w:trPr>
          <w:trHeight w:val="449"/>
        </w:trPr>
        <w:tc>
          <w:tcPr>
            <w:tcW w:w="1975" w:type="dxa"/>
            <w:tcMar>
              <w:left w:w="58" w:type="dxa"/>
              <w:right w:w="58" w:type="dxa"/>
            </w:tcMar>
          </w:tcPr>
          <w:p w:rsidR="5C2ED03D" w:rsidP="5C2ED03D" w:rsidRDefault="5C2ED03D" w14:paraId="19396A2F" w14:textId="0EAC4491">
            <w:pPr>
              <w:spacing w:before="40" w:beforeAutospacing="off" w:after="40" w:afterAutospacing="off"/>
              <w:jc w:val="center"/>
            </w:pPr>
            <w:r w:rsidRPr="5C2ED03D" w:rsidR="5C2ED03D">
              <w:rPr>
                <w:rFonts w:ascii="Arial" w:hAnsi="Arial" w:eastAsia="Arial" w:cs="Arial"/>
                <w:sz w:val="24"/>
                <w:szCs w:val="24"/>
              </w:rPr>
              <w:t>1,2,3-TCP</w:t>
            </w:r>
          </w:p>
        </w:tc>
        <w:tc>
          <w:tcPr>
            <w:tcW w:w="2250" w:type="dxa"/>
            <w:tcMar>
              <w:left w:w="58" w:type="dxa"/>
              <w:right w:w="58" w:type="dxa"/>
            </w:tcMar>
          </w:tcPr>
          <w:p w:rsidR="5C2ED03D" w:rsidP="5C2ED03D" w:rsidRDefault="5C2ED03D" w14:paraId="0CAF69B1" w14:textId="29652A8E">
            <w:pPr>
              <w:spacing w:before="40" w:beforeAutospacing="off" w:after="40" w:afterAutospacing="off"/>
              <w:jc w:val="center"/>
            </w:pPr>
            <w:r w:rsidRPr="5C2ED03D" w:rsidR="5C2ED03D">
              <w:rPr>
                <w:rFonts w:ascii="Arial" w:hAnsi="Arial" w:eastAsia="Arial" w:cs="Arial"/>
                <w:sz w:val="24"/>
                <w:szCs w:val="24"/>
              </w:rPr>
              <w:t xml:space="preserve">Compliance order issued for violation. </w:t>
            </w:r>
          </w:p>
        </w:tc>
        <w:tc>
          <w:tcPr>
            <w:tcW w:w="1890" w:type="dxa"/>
            <w:tcMar>
              <w:left w:w="58" w:type="dxa"/>
              <w:right w:w="58" w:type="dxa"/>
            </w:tcMar>
          </w:tcPr>
          <w:p w:rsidR="5C2ED03D" w:rsidP="5C2ED03D" w:rsidRDefault="5C2ED03D" w14:paraId="160ECB94" w14:textId="20F23116">
            <w:pPr>
              <w:spacing w:before="40" w:beforeAutospacing="off" w:after="40" w:afterAutospacing="off"/>
              <w:jc w:val="center"/>
            </w:pPr>
            <w:r w:rsidRPr="5C2ED03D" w:rsidR="5C2ED03D">
              <w:rPr>
                <w:rFonts w:ascii="Arial" w:hAnsi="Arial" w:eastAsia="Arial" w:cs="Arial"/>
                <w:sz w:val="24"/>
                <w:szCs w:val="24"/>
              </w:rPr>
              <w:t>2020 - current</w:t>
            </w:r>
          </w:p>
        </w:tc>
        <w:tc>
          <w:tcPr>
            <w:tcW w:w="2160" w:type="dxa"/>
            <w:tcMar>
              <w:left w:w="58" w:type="dxa"/>
              <w:right w:w="58" w:type="dxa"/>
            </w:tcMar>
          </w:tcPr>
          <w:p w:rsidR="5C2ED03D" w:rsidP="5C2ED03D" w:rsidRDefault="5C2ED03D" w14:paraId="43526229" w14:textId="1C254429">
            <w:pPr>
              <w:spacing w:before="40" w:beforeAutospacing="off" w:after="40" w:afterAutospacing="off"/>
              <w:jc w:val="center"/>
            </w:pPr>
            <w:r w:rsidRPr="5C2ED03D" w:rsidR="5C2ED03D">
              <w:rPr>
                <w:rFonts w:ascii="Arial" w:hAnsi="Arial" w:eastAsia="Arial" w:cs="Arial"/>
                <w:sz w:val="24"/>
                <w:szCs w:val="24"/>
              </w:rPr>
              <w:t>Church is working to install filters to remove 1,2,3-TCP. Church has disconnected school to water source.</w:t>
            </w:r>
          </w:p>
        </w:tc>
        <w:tc>
          <w:tcPr>
            <w:tcW w:w="2367" w:type="dxa"/>
            <w:tcMar>
              <w:left w:w="58" w:type="dxa"/>
              <w:right w:w="58" w:type="dxa"/>
            </w:tcMar>
          </w:tcPr>
          <w:p w:rsidR="5C2ED03D" w:rsidP="5C2ED03D" w:rsidRDefault="5C2ED03D" w14:paraId="20BD71FE" w14:textId="1AD3BD83">
            <w:pPr>
              <w:spacing w:before="40" w:beforeAutospacing="off" w:after="40" w:afterAutospacing="off"/>
            </w:pPr>
            <w:r w:rsidRPr="5C2ED03D" w:rsidR="5C2ED03D">
              <w:rPr>
                <w:rFonts w:ascii="Arial" w:hAnsi="Arial" w:eastAsia="Arial" w:cs="Arial"/>
                <w:sz w:val="24"/>
                <w:szCs w:val="24"/>
              </w:rPr>
              <w:t>Some people who drink water containing 1,2,3-trichloropropane in excess of the MCL over many years may have an increased risk of getting cancer.</w:t>
            </w:r>
          </w:p>
        </w:tc>
      </w:tr>
      <w:tr w:rsidRPr="005162DE" w:rsidR="002D3FB5" w:rsidTr="568C98C2" w14:paraId="2E9938F8" w14:textId="77777777">
        <w:trPr>
          <w:trHeight w:val="449"/>
        </w:trPr>
        <w:tc>
          <w:tcPr>
            <w:tcW w:w="1975" w:type="dxa"/>
            <w:tcMar>
              <w:left w:w="58" w:type="dxa"/>
              <w:right w:w="58" w:type="dxa"/>
            </w:tcMar>
          </w:tcPr>
          <w:p w:rsidR="5C2ED03D" w:rsidP="5C2ED03D" w:rsidRDefault="5C2ED03D" w14:paraId="35BF2CCC" w14:textId="17ABC307">
            <w:pPr>
              <w:spacing w:before="40" w:beforeAutospacing="off" w:after="40" w:afterAutospacing="off"/>
              <w:jc w:val="center"/>
            </w:pPr>
            <w:r w:rsidRPr="5C2ED03D" w:rsidR="5C2ED03D">
              <w:rPr>
                <w:rFonts w:ascii="Arial" w:hAnsi="Arial" w:eastAsia="Arial" w:cs="Arial"/>
                <w:sz w:val="24"/>
                <w:szCs w:val="24"/>
              </w:rPr>
              <w:t>DBCP</w:t>
            </w:r>
          </w:p>
        </w:tc>
        <w:tc>
          <w:tcPr>
            <w:tcW w:w="2250" w:type="dxa"/>
            <w:tcMar>
              <w:left w:w="58" w:type="dxa"/>
              <w:right w:w="58" w:type="dxa"/>
            </w:tcMar>
          </w:tcPr>
          <w:p w:rsidR="5C2ED03D" w:rsidP="5C2ED03D" w:rsidRDefault="5C2ED03D" w14:paraId="6C1B1F23" w14:textId="0A807DAD">
            <w:pPr>
              <w:spacing w:before="40" w:beforeAutospacing="off" w:after="40" w:afterAutospacing="off"/>
              <w:jc w:val="center"/>
            </w:pPr>
            <w:r w:rsidRPr="5C2ED03D" w:rsidR="5C2ED03D">
              <w:rPr>
                <w:rFonts w:ascii="Arial" w:hAnsi="Arial" w:eastAsia="Arial" w:cs="Arial"/>
                <w:sz w:val="24"/>
                <w:szCs w:val="24"/>
              </w:rPr>
              <w:t xml:space="preserve">Compliance order issued for violation. Violation was returned to compliance in 2021. </w:t>
            </w:r>
          </w:p>
        </w:tc>
        <w:tc>
          <w:tcPr>
            <w:tcW w:w="1890" w:type="dxa"/>
            <w:tcMar>
              <w:left w:w="58" w:type="dxa"/>
              <w:right w:w="58" w:type="dxa"/>
            </w:tcMar>
          </w:tcPr>
          <w:p w:rsidR="5C2ED03D" w:rsidP="5C2ED03D" w:rsidRDefault="5C2ED03D" w14:paraId="568DA05E" w14:textId="3FC1C223">
            <w:pPr>
              <w:spacing w:before="40" w:beforeAutospacing="off" w:after="40" w:afterAutospacing="off"/>
              <w:jc w:val="center"/>
            </w:pPr>
            <w:r w:rsidRPr="5C2ED03D" w:rsidR="5C2ED03D">
              <w:rPr>
                <w:rFonts w:ascii="Arial" w:hAnsi="Arial" w:eastAsia="Arial" w:cs="Arial"/>
                <w:sz w:val="24"/>
                <w:szCs w:val="24"/>
              </w:rPr>
              <w:t>2019 - 2021</w:t>
            </w:r>
          </w:p>
        </w:tc>
        <w:tc>
          <w:tcPr>
            <w:tcW w:w="2160" w:type="dxa"/>
            <w:tcMar>
              <w:left w:w="58" w:type="dxa"/>
              <w:right w:w="58" w:type="dxa"/>
            </w:tcMar>
          </w:tcPr>
          <w:p w:rsidR="5C2ED03D" w:rsidP="5C2ED03D" w:rsidRDefault="5C2ED03D" w14:paraId="6588325C" w14:textId="3E16E540">
            <w:pPr>
              <w:spacing w:before="40" w:beforeAutospacing="off" w:after="40" w:afterAutospacing="off"/>
              <w:jc w:val="center"/>
            </w:pPr>
            <w:r w:rsidRPr="5C2ED03D" w:rsidR="5C2ED03D">
              <w:rPr>
                <w:rFonts w:ascii="Arial" w:hAnsi="Arial" w:eastAsia="Arial" w:cs="Arial"/>
                <w:sz w:val="24"/>
                <w:szCs w:val="24"/>
              </w:rPr>
              <w:t>Water quality has changed in Well 01. Church has disconnected school to water source</w:t>
            </w:r>
          </w:p>
        </w:tc>
        <w:tc>
          <w:tcPr>
            <w:tcW w:w="2367" w:type="dxa"/>
            <w:tcMar>
              <w:left w:w="58" w:type="dxa"/>
              <w:right w:w="58" w:type="dxa"/>
            </w:tcMar>
          </w:tcPr>
          <w:p w:rsidR="5C2ED03D" w:rsidP="5C2ED03D" w:rsidRDefault="5C2ED03D" w14:paraId="29A9F411" w14:textId="165C62C3">
            <w:pPr>
              <w:spacing w:before="40" w:beforeAutospacing="off" w:after="40" w:afterAutospacing="off"/>
            </w:pPr>
            <w:r w:rsidRPr="5C2ED03D" w:rsidR="5C2ED03D">
              <w:rPr>
                <w:rFonts w:ascii="Arial" w:hAnsi="Arial" w:eastAsia="Arial" w:cs="Arial"/>
                <w:sz w:val="24"/>
                <w:szCs w:val="24"/>
              </w:rPr>
              <w:t>Some people who use water containing DBCP in excess of the MCL over many years may experience reproductive difficulties and may have an increased risk of getting cancer.</w:t>
            </w:r>
            <w:r w:rsidRPr="5C2ED03D" w:rsidR="5C2ED03D">
              <w:rPr>
                <w:rFonts w:ascii="Arial" w:hAnsi="Arial" w:cs="Arial"/>
                <w:sz w:val="24"/>
                <w:szCs w:val="24"/>
              </w:rPr>
              <w:t xml:space="preserve"> </w:t>
            </w:r>
          </w:p>
        </w:tc>
      </w:tr>
      <w:tr w:rsidR="568C98C2" w:rsidTr="568C98C2" w14:paraId="6EF0DAF7">
        <w:trPr>
          <w:trHeight w:val="449"/>
        </w:trPr>
        <w:tc>
          <w:tcPr>
            <w:tcW w:w="1975" w:type="dxa"/>
            <w:tcMar>
              <w:left w:w="58" w:type="dxa"/>
              <w:right w:w="58" w:type="dxa"/>
            </w:tcMar>
          </w:tcPr>
          <w:p w:rsidR="568C98C2" w:rsidP="568C98C2" w:rsidRDefault="568C98C2" w14:paraId="342C5BE8" w14:textId="3D9F7A7F">
            <w:pPr>
              <w:pStyle w:val="Normal"/>
              <w:jc w:val="center"/>
              <w:rPr>
                <w:rFonts w:ascii="Arial" w:hAnsi="Arial" w:eastAsia="Arial" w:cs="Arial"/>
                <w:sz w:val="24"/>
                <w:szCs w:val="24"/>
              </w:rPr>
            </w:pPr>
            <w:r w:rsidRPr="568C98C2" w:rsidR="568C98C2">
              <w:rPr>
                <w:rFonts w:ascii="Arial" w:hAnsi="Arial" w:eastAsia="Arial" w:cs="Arial"/>
                <w:sz w:val="24"/>
                <w:szCs w:val="24"/>
              </w:rPr>
              <w:t>Lead and Copper</w:t>
            </w:r>
          </w:p>
        </w:tc>
        <w:tc>
          <w:tcPr>
            <w:tcW w:w="2250" w:type="dxa"/>
            <w:tcMar>
              <w:left w:w="58" w:type="dxa"/>
              <w:right w:w="58" w:type="dxa"/>
            </w:tcMar>
          </w:tcPr>
          <w:p w:rsidR="568C98C2" w:rsidP="568C98C2" w:rsidRDefault="568C98C2" w14:paraId="3F372F3B" w14:textId="3EE26ADF">
            <w:pPr>
              <w:pStyle w:val="Normal"/>
              <w:jc w:val="center"/>
              <w:rPr>
                <w:rFonts w:ascii="Arial" w:hAnsi="Arial" w:eastAsia="Arial" w:cs="Arial"/>
                <w:sz w:val="24"/>
                <w:szCs w:val="24"/>
              </w:rPr>
            </w:pPr>
            <w:r w:rsidRPr="568C98C2" w:rsidR="568C98C2">
              <w:rPr>
                <w:rFonts w:ascii="Arial" w:hAnsi="Arial" w:eastAsia="Arial" w:cs="Arial"/>
                <w:sz w:val="24"/>
                <w:szCs w:val="24"/>
              </w:rPr>
              <w:t>Action order issued for violation</w:t>
            </w:r>
          </w:p>
        </w:tc>
        <w:tc>
          <w:tcPr>
            <w:tcW w:w="1890" w:type="dxa"/>
            <w:tcMar>
              <w:left w:w="58" w:type="dxa"/>
              <w:right w:w="58" w:type="dxa"/>
            </w:tcMar>
          </w:tcPr>
          <w:p w:rsidR="568C98C2" w:rsidP="568C98C2" w:rsidRDefault="568C98C2" w14:paraId="47DCC9E6" w14:textId="2EA3DAE2">
            <w:pPr>
              <w:pStyle w:val="Normal"/>
              <w:jc w:val="center"/>
              <w:rPr>
                <w:rFonts w:ascii="Arial" w:hAnsi="Arial" w:eastAsia="Arial" w:cs="Arial"/>
                <w:sz w:val="24"/>
                <w:szCs w:val="24"/>
              </w:rPr>
            </w:pPr>
            <w:r w:rsidRPr="568C98C2" w:rsidR="568C98C2">
              <w:rPr>
                <w:rFonts w:ascii="Arial" w:hAnsi="Arial" w:eastAsia="Arial" w:cs="Arial"/>
                <w:sz w:val="24"/>
                <w:szCs w:val="24"/>
              </w:rPr>
              <w:t>2023-current</w:t>
            </w:r>
          </w:p>
        </w:tc>
        <w:tc>
          <w:tcPr>
            <w:tcW w:w="2160" w:type="dxa"/>
            <w:tcMar>
              <w:left w:w="58" w:type="dxa"/>
              <w:right w:w="58" w:type="dxa"/>
            </w:tcMar>
          </w:tcPr>
          <w:p w:rsidR="568C98C2" w:rsidP="568C98C2" w:rsidRDefault="568C98C2" w14:paraId="3F9609BA" w14:textId="6D6D4562">
            <w:pPr>
              <w:pStyle w:val="Normal"/>
              <w:jc w:val="center"/>
              <w:rPr>
                <w:rFonts w:ascii="Arial" w:hAnsi="Arial" w:eastAsia="Arial" w:cs="Arial"/>
                <w:sz w:val="24"/>
                <w:szCs w:val="24"/>
              </w:rPr>
            </w:pPr>
            <w:r w:rsidRPr="568C98C2" w:rsidR="568C98C2">
              <w:rPr>
                <w:rFonts w:ascii="Arial" w:hAnsi="Arial" w:eastAsia="Arial" w:cs="Arial"/>
                <w:sz w:val="24"/>
                <w:szCs w:val="24"/>
              </w:rPr>
              <w:t xml:space="preserve">Fittings that had </w:t>
            </w:r>
            <w:r w:rsidRPr="568C98C2" w:rsidR="568C98C2">
              <w:rPr>
                <w:rFonts w:ascii="Arial" w:hAnsi="Arial" w:eastAsia="Arial" w:cs="Arial"/>
                <w:sz w:val="24"/>
                <w:szCs w:val="24"/>
              </w:rPr>
              <w:t>high levels</w:t>
            </w:r>
            <w:r w:rsidRPr="568C98C2" w:rsidR="568C98C2">
              <w:rPr>
                <w:rFonts w:ascii="Arial" w:hAnsi="Arial" w:eastAsia="Arial" w:cs="Arial"/>
                <w:sz w:val="24"/>
                <w:szCs w:val="24"/>
              </w:rPr>
              <w:t xml:space="preserve"> of lead/copper were replaced</w:t>
            </w:r>
          </w:p>
        </w:tc>
        <w:tc>
          <w:tcPr>
            <w:tcW w:w="2367" w:type="dxa"/>
            <w:tcMar>
              <w:left w:w="58" w:type="dxa"/>
              <w:right w:w="58" w:type="dxa"/>
            </w:tcMar>
          </w:tcPr>
          <w:p w:rsidR="568C98C2" w:rsidP="568C98C2" w:rsidRDefault="568C98C2" w14:paraId="56A1E9BA" w14:textId="0AFB25F2">
            <w:pPr>
              <w:pStyle w:val="Normal"/>
              <w:rPr>
                <w:rFonts w:ascii="Arial" w:hAnsi="Arial" w:eastAsia="Arial" w:cs="Arial"/>
                <w:noProof w:val="0"/>
                <w:sz w:val="24"/>
                <w:szCs w:val="24"/>
                <w:lang w:val="en-US"/>
              </w:rPr>
            </w:pPr>
            <w:r w:rsidRPr="568C98C2" w:rsidR="568C98C2">
              <w:rPr>
                <w:rFonts w:ascii="Source Sans Pro" w:hAnsi="Source Sans Pro" w:eastAsia="Source Sans Pro" w:cs="Source Sans Pro"/>
                <w:b w:val="0"/>
                <w:bCs w:val="0"/>
                <w:i w:val="0"/>
                <w:iCs w:val="0"/>
                <w:caps w:val="0"/>
                <w:smallCaps w:val="0"/>
                <w:noProof w:val="0"/>
                <w:color w:val="333333"/>
                <w:sz w:val="24"/>
                <w:szCs w:val="24"/>
                <w:lang w:val="en-US"/>
              </w:rPr>
              <w:t>The U.S. Environmental Protection Agency (US EPA) has determined that there is no safe level of lead exposure, and state and federal regulations aim to limit exposure. Drinking water contaminated with lead and copper can lead to various health issues ranging from stomach problems to brain damage. Infants and developing fetuses can be exposed to lead through breast milk or the placenta from mothers with high blood lead levels. Lead is particularly dangerous to children, infants, and fetuses because the physical and behavioral effects occur at lower exposure levels than in adults. Lead can cause damage to the brain and nervous system, slowed growth and development, learning and behavioral problems, and hearing and speech problems which may result in lower IQ, decreased ability to pay attention, and underperformance in school.</w:t>
            </w:r>
          </w:p>
        </w:tc>
      </w:tr>
      <w:tr w:rsidR="5C2ED03D" w:rsidTr="568C98C2" w14:paraId="4D3DA2A5">
        <w:trPr>
          <w:trHeight w:val="449"/>
        </w:trPr>
        <w:tc>
          <w:tcPr>
            <w:tcW w:w="1975" w:type="dxa"/>
            <w:tcMar>
              <w:left w:w="58" w:type="dxa"/>
              <w:right w:w="58" w:type="dxa"/>
            </w:tcMar>
          </w:tcPr>
          <w:p w:rsidR="5C2ED03D" w:rsidP="5C2ED03D" w:rsidRDefault="5C2ED03D" w14:paraId="73AAE88B" w14:textId="358C17B3">
            <w:pPr>
              <w:pStyle w:val="Normal"/>
              <w:jc w:val="center"/>
              <w:rPr>
                <w:rFonts w:ascii="Arial" w:hAnsi="Arial" w:eastAsia="Arial" w:cs="Arial"/>
                <w:sz w:val="24"/>
                <w:szCs w:val="24"/>
              </w:rPr>
            </w:pPr>
            <w:r w:rsidRPr="5C2ED03D" w:rsidR="5C2ED03D">
              <w:rPr>
                <w:rFonts w:ascii="Arial" w:hAnsi="Arial" w:eastAsia="Arial" w:cs="Arial"/>
                <w:sz w:val="24"/>
                <w:szCs w:val="24"/>
              </w:rPr>
              <w:t>Nitrate</w:t>
            </w:r>
          </w:p>
        </w:tc>
        <w:tc>
          <w:tcPr>
            <w:tcW w:w="2250" w:type="dxa"/>
            <w:tcMar>
              <w:left w:w="58" w:type="dxa"/>
              <w:right w:w="58" w:type="dxa"/>
            </w:tcMar>
          </w:tcPr>
          <w:p w:rsidR="5C2ED03D" w:rsidP="5C2ED03D" w:rsidRDefault="5C2ED03D" w14:paraId="2E7B8582" w14:textId="5D1E2433">
            <w:pPr>
              <w:pStyle w:val="Normal"/>
              <w:jc w:val="center"/>
            </w:pPr>
            <w:r w:rsidRPr="5C2ED03D" w:rsidR="5C2ED03D">
              <w:rPr>
                <w:rFonts w:ascii="Arial" w:hAnsi="Arial" w:eastAsia="Arial" w:cs="Arial"/>
                <w:sz w:val="24"/>
                <w:szCs w:val="24"/>
              </w:rPr>
              <w:t>Compliance order issued for violation.</w:t>
            </w:r>
          </w:p>
        </w:tc>
        <w:tc>
          <w:tcPr>
            <w:tcW w:w="1890" w:type="dxa"/>
            <w:tcMar>
              <w:left w:w="58" w:type="dxa"/>
              <w:right w:w="58" w:type="dxa"/>
            </w:tcMar>
          </w:tcPr>
          <w:p w:rsidR="5C2ED03D" w:rsidP="5C2ED03D" w:rsidRDefault="5C2ED03D" w14:paraId="41600DA8" w14:textId="740CDED5">
            <w:pPr>
              <w:pStyle w:val="Normal"/>
              <w:jc w:val="center"/>
              <w:rPr>
                <w:rFonts w:ascii="Arial" w:hAnsi="Arial" w:eastAsia="Arial" w:cs="Arial"/>
                <w:sz w:val="24"/>
                <w:szCs w:val="24"/>
              </w:rPr>
            </w:pPr>
            <w:r w:rsidRPr="5C2ED03D" w:rsidR="5C2ED03D">
              <w:rPr>
                <w:rFonts w:ascii="Arial" w:hAnsi="Arial" w:eastAsia="Arial" w:cs="Arial"/>
                <w:sz w:val="24"/>
                <w:szCs w:val="24"/>
              </w:rPr>
              <w:t>2023-current</w:t>
            </w:r>
          </w:p>
        </w:tc>
        <w:tc>
          <w:tcPr>
            <w:tcW w:w="2160" w:type="dxa"/>
            <w:tcMar>
              <w:left w:w="58" w:type="dxa"/>
              <w:right w:w="58" w:type="dxa"/>
            </w:tcMar>
          </w:tcPr>
          <w:p w:rsidR="5C2ED03D" w:rsidP="5C2ED03D" w:rsidRDefault="5C2ED03D" w14:paraId="395CA7FD" w14:textId="6F475B33">
            <w:pPr>
              <w:pStyle w:val="Normal"/>
              <w:jc w:val="center"/>
              <w:rPr>
                <w:rFonts w:ascii="Arial" w:hAnsi="Arial" w:eastAsia="Arial" w:cs="Arial"/>
                <w:sz w:val="24"/>
                <w:szCs w:val="24"/>
              </w:rPr>
            </w:pPr>
            <w:r w:rsidRPr="5C2ED03D" w:rsidR="5C2ED03D">
              <w:rPr>
                <w:rFonts w:ascii="Arial" w:hAnsi="Arial" w:eastAsia="Arial" w:cs="Arial"/>
                <w:sz w:val="24"/>
                <w:szCs w:val="24"/>
              </w:rPr>
              <w:t>Church is designing and installing a filtration system to remove the nitrate</w:t>
            </w:r>
          </w:p>
        </w:tc>
        <w:tc>
          <w:tcPr>
            <w:tcW w:w="2367" w:type="dxa"/>
            <w:tcMar>
              <w:left w:w="58" w:type="dxa"/>
              <w:right w:w="58" w:type="dxa"/>
            </w:tcMar>
          </w:tcPr>
          <w:p w:rsidR="5C2ED03D" w:rsidP="5C2ED03D" w:rsidRDefault="5C2ED03D" w14:paraId="2FCC45D0" w14:textId="3BD3D4F0">
            <w:pPr>
              <w:pStyle w:val="Normal"/>
            </w:pPr>
            <w:r w:rsidRPr="5C2ED03D" w:rsidR="5C2ED03D">
              <w:rPr>
                <w:rFonts w:ascii="Arial" w:hAnsi="Arial" w:eastAsia="Arial" w:cs="Arial"/>
                <w:noProof w:val="0"/>
                <w:sz w:val="24"/>
                <w:szCs w:val="24"/>
                <w:lang w:val="en-US"/>
              </w:rPr>
              <w:t>High levels of nitrate in drinking water are associated with adverse health effects. Domestic well users are encouraged to test their well water regularly for nitrate. Infants under six months of age have a greater risk of nitrate poisoning, called methemoglobinemia (“blue baby” syndrome). Toxic effects occur when bacteria in the infant’s stomach convert nitrate to more toxic nitrite. When nitrite enters the bloodstream, it interferes with the body’s ability to carry 4 Revised November 2017 oxygen to body tissues. Symptoms include shortness of breath and blueness of the skin around the eyes and mouth. Infants with these symptoms need immediate medical care since the condition can lead to coma and eventually death. During pregnancy, it is common for methemoglobin levels of the pregnant woman to increase from normal (where 0.5 to 2.5% of the total hemoglobin is in the form of methemoglobin) to a maximum of 10% in the 30th week of pregnancy. The level of methemoglobin declines to a normal level after delivery. Pregnant women are susceptible to methemoglobinemia and should be sure that the nitrate concentrations in their drinking water are at safe levels. Some scientific studies suggested a linkage between high nitrate levels in drinking water with birth defects and certain types of cancer. However, long-term scientific studies are needed to determine a direct relationship. According to the EPA, long-term exposure to water with high nitrate levels may cause diuresis, increase starchy deposits, and hemorrhaging of the spleen. People with heart or lung diseases are more susceptible to the toxic effects of nitrate than others because of reduced levels of gastric acidity.</w:t>
            </w: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5C2ED03D"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5C2ED03D"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1F503E" w:rsidP="5C2ED03D" w:rsidRDefault="001F503E" w14:paraId="35504704" w14:textId="0C95BA97">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0</w:t>
            </w:r>
          </w:p>
        </w:tc>
        <w:tc>
          <w:tcPr>
            <w:tcW w:w="1440" w:type="dxa"/>
            <w:tcMar>
              <w:left w:w="58" w:type="dxa"/>
              <w:right w:w="58" w:type="dxa"/>
            </w:tcMar>
          </w:tcPr>
          <w:p w:rsidRPr="005162DE" w:rsidR="00E80EE7" w:rsidP="0087640F" w:rsidRDefault="001F7181" w14:paraId="63C1391F" w14:textId="5C59C000">
            <w:pPr>
              <w:spacing w:before="40" w:after="40"/>
              <w:jc w:val="center"/>
              <w:rPr>
                <w:rFonts w:ascii="Arial" w:hAnsi="Arial" w:cs="Arial"/>
                <w:sz w:val="24"/>
                <w:szCs w:val="24"/>
              </w:rPr>
            </w:pPr>
            <w:r w:rsidRPr="005162DE">
              <w:rPr>
                <w:rFonts w:ascii="Arial" w:hAnsi="Arial" w:cs="Arial"/>
                <w:sz w:val="24"/>
                <w:szCs w:val="24"/>
              </w:rPr>
              <w:t>[Enter Date</w:t>
            </w:r>
            <w:r w:rsidRPr="005162DE" w:rsidR="007C0BEA">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5C2ED03D"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503E" w:rsidP="5C2ED03D" w:rsidRDefault="001F503E" w14:paraId="60AE42FC" w14:textId="00765A0E">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0</w:t>
            </w:r>
          </w:p>
        </w:tc>
        <w:tc>
          <w:tcPr>
            <w:tcW w:w="1440" w:type="dxa"/>
            <w:tcMar>
              <w:left w:w="58" w:type="dxa"/>
              <w:right w:w="58" w:type="dxa"/>
            </w:tcMar>
          </w:tcPr>
          <w:p w:rsidRPr="005162DE" w:rsidR="001F7181" w:rsidP="0087640F" w:rsidRDefault="001F7181" w14:paraId="184CB2D0" w14:textId="5FA3F7FA">
            <w:pPr>
              <w:spacing w:before="40" w:after="40"/>
              <w:jc w:val="center"/>
              <w:rPr>
                <w:rFonts w:ascii="Arial" w:hAnsi="Arial" w:cs="Arial"/>
                <w:sz w:val="24"/>
                <w:szCs w:val="24"/>
              </w:rPr>
            </w:pPr>
            <w:r w:rsidRPr="005162DE">
              <w:rPr>
                <w:rFonts w:ascii="Arial" w:hAnsi="Arial" w:cs="Arial"/>
                <w:sz w:val="24"/>
                <w:szCs w:val="24"/>
              </w:rPr>
              <w:t>[Enter Date</w:t>
            </w:r>
            <w:r w:rsidRPr="005162DE" w:rsidR="007C0BEA">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5C2ED03D"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503E" w:rsidP="5C2ED03D" w:rsidRDefault="001F503E" w14:paraId="4A8FE09D" w14:textId="072670EC">
            <w:pPr>
              <w:pStyle w:val="Normal"/>
              <w:suppressLineNumbers w:val="0"/>
              <w:bidi w:val="0"/>
              <w:spacing w:before="40" w:beforeAutospacing="off" w:after="40" w:afterAutospacing="off" w:line="259" w:lineRule="auto"/>
              <w:ind w:left="0" w:right="0"/>
              <w:jc w:val="center"/>
            </w:pPr>
            <w:r w:rsidRPr="5C2ED03D" w:rsidR="5C2ED03D">
              <w:rPr>
                <w:rFonts w:ascii="Arial" w:hAnsi="Arial" w:cs="Arial"/>
                <w:sz w:val="24"/>
                <w:szCs w:val="24"/>
              </w:rPr>
              <w:t>0</w:t>
            </w:r>
          </w:p>
        </w:tc>
        <w:tc>
          <w:tcPr>
            <w:tcW w:w="1440" w:type="dxa"/>
            <w:tcMar>
              <w:left w:w="58" w:type="dxa"/>
              <w:right w:w="58" w:type="dxa"/>
            </w:tcMar>
          </w:tcPr>
          <w:p w:rsidRPr="005162DE" w:rsidR="001F7181" w:rsidP="0087640F" w:rsidRDefault="001F7181" w14:paraId="0CA8CA65" w14:textId="66CBF15E">
            <w:pPr>
              <w:spacing w:before="40" w:after="40"/>
              <w:jc w:val="center"/>
              <w:rPr>
                <w:rFonts w:ascii="Arial" w:hAnsi="Arial" w:cs="Arial"/>
                <w:sz w:val="24"/>
                <w:szCs w:val="24"/>
              </w:rPr>
            </w:pPr>
            <w:r w:rsidRPr="005162DE">
              <w:rPr>
                <w:rFonts w:ascii="Arial" w:hAnsi="Arial" w:cs="Arial"/>
                <w:sz w:val="24"/>
                <w:szCs w:val="24"/>
              </w:rPr>
              <w:t>[Enter Date</w:t>
            </w:r>
            <w:r w:rsidRPr="005162DE" w:rsidR="007C0BEA">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5C2ED03D" w:rsidRDefault="00BC4EA7" w14:paraId="1385D6E6" w14:textId="1BAA9EDC">
      <w:pPr>
        <w:pStyle w:val="Heading3"/>
        <w:rPr>
          <w:color w:val="auto"/>
        </w:rPr>
      </w:pPr>
      <w:bookmarkStart w:name="_Toc58336722" w:id="11"/>
      <w:r w:rsidRPr="5C2ED03D" w:rsidR="5C2ED03D">
        <w:rPr>
          <w:color w:val="auto"/>
        </w:rPr>
        <w:t xml:space="preserve"> </w:t>
      </w:r>
      <w:bookmarkEnd w:id="11"/>
    </w:p>
    <w:bookmarkStart w:name="_Toc58336725" w:id="14"/>
    <w:bookmarkStart w:name="_Hlk58234306" w:id="15"/>
    <w:bookmarkEnd w:id="14"/>
    <w:bookmarkEnd w:id="15"/>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0675" w:rsidRDefault="002F0675" w14:paraId="363205F8" w14:textId="77777777">
      <w:r>
        <w:separator/>
      </w:r>
    </w:p>
    <w:p w:rsidR="002F0675" w:rsidRDefault="002F0675" w14:paraId="381BDAA1" w14:textId="77777777"/>
  </w:endnote>
  <w:endnote w:type="continuationSeparator" w:id="0">
    <w:p w:rsidR="002F0675" w:rsidRDefault="002F0675" w14:paraId="361B9F38" w14:textId="77777777">
      <w:r>
        <w:continuationSeparator/>
      </w:r>
    </w:p>
    <w:p w:rsidR="002F0675" w:rsidRDefault="002F0675" w14:paraId="5CB7EBAD" w14:textId="77777777"/>
  </w:endnote>
  <w:endnote w:type="continuationNotice" w:id="1">
    <w:p w:rsidR="002F0675" w:rsidRDefault="002F0675" w14:paraId="274D772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0675" w:rsidRDefault="002F0675" w14:paraId="76B4D486" w14:textId="77777777">
      <w:r>
        <w:separator/>
      </w:r>
    </w:p>
    <w:p w:rsidR="002F0675" w:rsidRDefault="002F0675" w14:paraId="124A16F0" w14:textId="77777777"/>
  </w:footnote>
  <w:footnote w:type="continuationSeparator" w:id="0">
    <w:p w:rsidR="002F0675" w:rsidRDefault="002F0675" w14:paraId="2DDB0F09" w14:textId="77777777">
      <w:r>
        <w:continuationSeparator/>
      </w:r>
    </w:p>
    <w:p w:rsidR="002F0675" w:rsidRDefault="002F0675" w14:paraId="47DC8CA2" w14:textId="77777777"/>
  </w:footnote>
  <w:footnote w:type="continuationNotice" w:id="1">
    <w:p w:rsidR="002F0675" w:rsidRDefault="002F0675" w14:paraId="2E15020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6CD1"/>
    <w:rsid w:val="001E7F17"/>
    <w:rsid w:val="001F155B"/>
    <w:rsid w:val="001F3468"/>
    <w:rsid w:val="001F503E"/>
    <w:rsid w:val="001F7181"/>
    <w:rsid w:val="00200ED0"/>
    <w:rsid w:val="002010C1"/>
    <w:rsid w:val="0020216E"/>
    <w:rsid w:val="00212811"/>
    <w:rsid w:val="00214D2C"/>
    <w:rsid w:val="002166FF"/>
    <w:rsid w:val="00220240"/>
    <w:rsid w:val="002240D2"/>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675"/>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5F87"/>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3FF8"/>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0F59"/>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59A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14FB"/>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DBD"/>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7D6A"/>
    <w:rsid w:val="00FB5ACE"/>
    <w:rsid w:val="00FB67EC"/>
    <w:rsid w:val="00FC01B5"/>
    <w:rsid w:val="00FC1912"/>
    <w:rsid w:val="00FC33C4"/>
    <w:rsid w:val="00FC34F6"/>
    <w:rsid w:val="00FD4B98"/>
    <w:rsid w:val="00FD4BF4"/>
    <w:rsid w:val="00FE1715"/>
    <w:rsid w:val="00FF0C1D"/>
    <w:rsid w:val="00FF6578"/>
    <w:rsid w:val="00FF6F10"/>
    <w:rsid w:val="4927A052"/>
    <w:rsid w:val="568C98C2"/>
    <w:rsid w:val="5C2ED03D"/>
    <w:rsid w:val="6A8C1BA6"/>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9</revision>
  <lastPrinted>2022-01-19T18:53:00.0000000Z</lastPrinted>
  <dcterms:created xsi:type="dcterms:W3CDTF">2024-06-29T01:17:00.0000000Z</dcterms:created>
  <dcterms:modified xsi:type="dcterms:W3CDTF">2024-07-01T01:34:30.3895804Z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