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5D410CA3" w:rsidR="00BC6327" w:rsidRPr="005162DE" w:rsidRDefault="00BC6327" w:rsidP="008E66E2">
      <w:pPr>
        <w:pStyle w:val="Heading1"/>
        <w:spacing w:before="0"/>
        <w:jc w:val="center"/>
      </w:pPr>
      <w:bookmarkStart w:id="0" w:name="_Toc58336712"/>
      <w:r w:rsidRPr="005162DE">
        <w:t>20</w:t>
      </w:r>
      <w:r w:rsidR="00587220" w:rsidRPr="005162DE">
        <w:t>2</w:t>
      </w:r>
      <w:r w:rsidR="009370BA">
        <w:t>4</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Terry School</w:t>
      </w:r>
      <w:r>
        <w:rPr>
          <w:rFonts w:ascii="Arial" w:hAnsi="Arial" w:cs="Arial"/>
          <w:sz w:val="24"/>
          <w:szCs w:val="24"/>
        </w:rPr>
        <w:t xml:space="preserve"> </w:t>
      </w:r>
    </w:p>
    <w:p w14:paraId="27A2A4D4" w14:textId="796728C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009370BA">
        <w:rPr>
          <w:rFonts w:ascii="Arial" w:hAnsi="Arial" w:cs="Arial"/>
          <w:sz w:val="24"/>
          <w:szCs w:val="24"/>
        </w:rPr>
        <w:t>June 17, 2025</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44D8907A"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w:t>
      </w:r>
      <w:r w:rsidR="00FD36D7" w:rsidRPr="004E692A">
        <w:rPr>
          <w:rFonts w:ascii="Arial" w:hAnsi="Arial" w:cs="Arial"/>
          <w:sz w:val="24"/>
          <w:szCs w:val="24"/>
          <w:highlight w:val="yellow"/>
        </w:rPr>
        <w:t>02,</w:t>
      </w:r>
      <w:r>
        <w:rPr>
          <w:rFonts w:ascii="Arial" w:hAnsi="Arial" w:cs="Arial"/>
          <w:sz w:val="24"/>
          <w:szCs w:val="24"/>
        </w:rPr>
        <w:t xml:space="preserve"> </w:t>
      </w:r>
      <w:r w:rsidR="005D5780">
        <w:rPr>
          <w:rFonts w:ascii="Arial" w:hAnsi="Arial" w:cs="Arial"/>
          <w:sz w:val="24"/>
          <w:szCs w:val="24"/>
        </w:rPr>
        <w:t xml:space="preserve">LOCATION ~ 12906 FOWLER AVE. SELMA, CA. </w:t>
      </w:r>
      <w:r w:rsidR="009370BA">
        <w:rPr>
          <w:rFonts w:ascii="Arial" w:hAnsi="Arial" w:cs="Arial"/>
          <w:sz w:val="24"/>
          <w:szCs w:val="24"/>
        </w:rPr>
        <w:t>93662;</w:t>
      </w:r>
      <w:r w:rsidR="005D5780">
        <w:rPr>
          <w:rFonts w:ascii="Arial" w:hAnsi="Arial" w:cs="Arial"/>
          <w:sz w:val="24"/>
          <w:szCs w:val="24"/>
        </w:rPr>
        <w:t xml:space="preserve"> SYSTEM ID # 1000198</w:t>
      </w:r>
    </w:p>
    <w:p w14:paraId="359D4F2E" w14:textId="62D04A84"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Drinking Water Source Assessment Information: </w:t>
      </w:r>
      <w:r w:rsidR="005D5780">
        <w:rPr>
          <w:rFonts w:ascii="Arial" w:hAnsi="Arial" w:cs="Arial"/>
          <w:sz w:val="24"/>
          <w:szCs w:val="24"/>
        </w:rPr>
        <w:t>N/A</w:t>
      </w:r>
    </w:p>
    <w:p w14:paraId="6EF36EED" w14:textId="76BF4762"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D5780">
        <w:rPr>
          <w:rFonts w:ascii="Arial" w:hAnsi="Arial" w:cs="Arial"/>
          <w:sz w:val="24"/>
          <w:szCs w:val="24"/>
        </w:rPr>
        <w:t>N/A</w:t>
      </w:r>
    </w:p>
    <w:p w14:paraId="0BF3646D" w14:textId="7D5683F5"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00074604">
        <w:rPr>
          <w:rFonts w:ascii="Arial" w:hAnsi="Arial" w:cs="Arial"/>
          <w:sz w:val="24"/>
          <w:szCs w:val="24"/>
        </w:rPr>
        <w:t>JESSICA VILLAREAL</w:t>
      </w:r>
      <w:r>
        <w:rPr>
          <w:rFonts w:ascii="Arial" w:hAnsi="Arial" w:cs="Arial"/>
          <w:sz w:val="24"/>
          <w:szCs w:val="24"/>
        </w:rPr>
        <w:t xml:space="preserve"> at </w:t>
      </w:r>
      <w:r w:rsidRPr="004B1A6B">
        <w:rPr>
          <w:rFonts w:ascii="Arial" w:hAnsi="Arial" w:cs="Arial"/>
          <w:sz w:val="24"/>
          <w:szCs w:val="24"/>
          <w:highlight w:val="yellow"/>
        </w:rPr>
        <w:t>559-898-6500</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191DB6A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9370BA" w:rsidRPr="005162DE">
        <w:rPr>
          <w:rFonts w:ascii="Arial" w:hAnsi="Arial" w:cs="Arial"/>
          <w:sz w:val="24"/>
          <w:szCs w:val="24"/>
        </w:rPr>
        <w:t>202</w:t>
      </w:r>
      <w:r w:rsidR="009370BA">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Pr="00D97AB8">
        <w:rPr>
          <w:rFonts w:ascii="Arial" w:hAnsi="Arial" w:cs="Arial"/>
          <w:sz w:val="24"/>
          <w:szCs w:val="24"/>
          <w:highlight w:val="yellow"/>
        </w:rPr>
        <w:t>Terry School</w:t>
      </w:r>
      <w:r w:rsidRPr="00D10A7C">
        <w:rPr>
          <w:rFonts w:ascii="Arial" w:hAnsi="Arial" w:cs="Arial"/>
          <w:sz w:val="24"/>
          <w:szCs w:val="24"/>
        </w:rPr>
        <w:t xml:space="preserve"> a </w:t>
      </w:r>
      <w:r w:rsidRPr="004B1A6B">
        <w:rPr>
          <w:rFonts w:ascii="Arial" w:hAnsi="Arial" w:cs="Arial"/>
          <w:sz w:val="24"/>
          <w:szCs w:val="24"/>
          <w:highlight w:val="yellow"/>
        </w:rPr>
        <w:t>559-898-6500</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Pr="00D97AB8">
        <w:rPr>
          <w:rFonts w:ascii="Arial" w:hAnsi="Arial" w:cs="Arial"/>
          <w:sz w:val="24"/>
          <w:szCs w:val="24"/>
          <w:highlight w:val="yellow"/>
        </w:rPr>
        <w:t>Terry School</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559-898-6500</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Terry School</w:t>
      </w:r>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559-898-6500</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Terry School</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559-898-6500</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Terry School</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559-898-6500</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FCACE62" w:rsidR="00095AAC" w:rsidRPr="005162DE" w:rsidRDefault="00095AAC" w:rsidP="00115004">
      <w:pPr>
        <w:pStyle w:val="Caption"/>
      </w:pPr>
      <w:r w:rsidRPr="005162DE">
        <w:lastRenderedPageBreak/>
        <w:t xml:space="preserve">Table </w:t>
      </w:r>
      <w:fldSimple w:instr=" SEQ Table \* ARABIC ">
        <w:r w:rsidR="00074604">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CAD8C8D" w:rsidR="008572DA" w:rsidRPr="005162DE" w:rsidRDefault="005D5780" w:rsidP="005D5780">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C537AF2" w:rsidR="00095AAC" w:rsidRPr="005162DE" w:rsidRDefault="005D578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CFFB0D1" w:rsidR="005210D2" w:rsidRPr="005162DE" w:rsidRDefault="005210D2" w:rsidP="00070C22">
      <w:pPr>
        <w:pStyle w:val="Caption"/>
      </w:pPr>
      <w:r w:rsidRPr="005162DE">
        <w:t xml:space="preserve">Table </w:t>
      </w:r>
      <w:fldSimple w:instr=" SEQ Table \* ARABIC ">
        <w:r w:rsidR="00074604">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46A584DD"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 xml:space="preserve">Lead </w:t>
            </w:r>
          </w:p>
        </w:tc>
        <w:tc>
          <w:tcPr>
            <w:tcW w:w="1634" w:type="dxa"/>
            <w:tcMar>
              <w:left w:w="86" w:type="dxa"/>
              <w:right w:w="86" w:type="dxa"/>
            </w:tcMar>
          </w:tcPr>
          <w:p w14:paraId="0A0580DD" w14:textId="7FEA6845" w:rsidR="00D73637" w:rsidRPr="005162DE" w:rsidRDefault="005D5780" w:rsidP="00960466">
            <w:pPr>
              <w:spacing w:before="40" w:after="40"/>
              <w:jc w:val="center"/>
              <w:rPr>
                <w:rFonts w:ascii="Arial" w:hAnsi="Arial" w:cs="Arial"/>
                <w:sz w:val="24"/>
                <w:szCs w:val="24"/>
              </w:rPr>
            </w:pPr>
            <w:r>
              <w:rPr>
                <w:rFonts w:ascii="Arial" w:hAnsi="Arial" w:cs="Arial"/>
                <w:sz w:val="24"/>
                <w:szCs w:val="24"/>
              </w:rPr>
              <w:t>0</w:t>
            </w:r>
            <w:r w:rsidR="00FD36D7">
              <w:rPr>
                <w:rFonts w:ascii="Arial" w:hAnsi="Arial" w:cs="Arial"/>
                <w:sz w:val="24"/>
                <w:szCs w:val="24"/>
              </w:rPr>
              <w:t>9/18/24</w:t>
            </w:r>
          </w:p>
        </w:tc>
        <w:tc>
          <w:tcPr>
            <w:tcW w:w="1021" w:type="dxa"/>
            <w:tcMar>
              <w:left w:w="86" w:type="dxa"/>
              <w:right w:w="86" w:type="dxa"/>
            </w:tcMar>
          </w:tcPr>
          <w:p w14:paraId="102D5A02" w14:textId="5BC036F8" w:rsidR="00D73637" w:rsidRPr="005162DE" w:rsidRDefault="00FD36D7"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6C504A3" w:rsidR="00D73637" w:rsidRPr="005162DE" w:rsidRDefault="005D5780"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F4FB596" w:rsidR="00D73637" w:rsidRPr="005162DE" w:rsidRDefault="005D578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5EAE2B35"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 xml:space="preserve">Copper </w:t>
            </w:r>
          </w:p>
        </w:tc>
        <w:tc>
          <w:tcPr>
            <w:tcW w:w="1634" w:type="dxa"/>
            <w:tcMar>
              <w:left w:w="86" w:type="dxa"/>
              <w:right w:w="86" w:type="dxa"/>
            </w:tcMar>
          </w:tcPr>
          <w:p w14:paraId="1E79D436" w14:textId="650B622D" w:rsidR="00D73637" w:rsidRPr="005162DE" w:rsidRDefault="005D5780" w:rsidP="00FC33C4">
            <w:pPr>
              <w:spacing w:before="40" w:after="40"/>
              <w:jc w:val="center"/>
              <w:rPr>
                <w:rFonts w:ascii="Arial" w:hAnsi="Arial" w:cs="Arial"/>
                <w:sz w:val="24"/>
                <w:szCs w:val="24"/>
              </w:rPr>
            </w:pPr>
            <w:r>
              <w:rPr>
                <w:rFonts w:ascii="Arial" w:hAnsi="Arial" w:cs="Arial"/>
                <w:sz w:val="24"/>
                <w:szCs w:val="24"/>
              </w:rPr>
              <w:t>0</w:t>
            </w:r>
            <w:r w:rsidR="00FD36D7">
              <w:rPr>
                <w:rFonts w:ascii="Arial" w:hAnsi="Arial" w:cs="Arial"/>
                <w:sz w:val="24"/>
                <w:szCs w:val="24"/>
              </w:rPr>
              <w:t>9/18/24</w:t>
            </w:r>
          </w:p>
        </w:tc>
        <w:tc>
          <w:tcPr>
            <w:tcW w:w="1021" w:type="dxa"/>
            <w:tcMar>
              <w:left w:w="86" w:type="dxa"/>
              <w:right w:w="86" w:type="dxa"/>
            </w:tcMar>
          </w:tcPr>
          <w:p w14:paraId="42CEE2F3" w14:textId="0E6EA8AA" w:rsidR="00D73637" w:rsidRPr="005162DE" w:rsidRDefault="00FD36D7"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FF60332" w:rsidR="00D73637" w:rsidRPr="005162DE" w:rsidRDefault="005D5780"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1BE58EDA" w:rsidR="00D73637" w:rsidRPr="005162DE" w:rsidRDefault="005D578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090F9E60" w:rsidR="005D3708" w:rsidRPr="005162DE" w:rsidRDefault="005D3708" w:rsidP="00070C22">
      <w:pPr>
        <w:pStyle w:val="Caption"/>
      </w:pPr>
      <w:r w:rsidRPr="005162DE">
        <w:t xml:space="preserve">Table </w:t>
      </w:r>
      <w:fldSimple w:instr=" SEQ Table \* ARABIC ">
        <w:r w:rsidR="00074604">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DBF9637" w:rsidR="00684C7E" w:rsidRPr="005162DE" w:rsidRDefault="005D5780"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09913D32"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6802CC34" w14:textId="23E554CC"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A00A9AC" w:rsidR="00684C7E" w:rsidRPr="005162DE" w:rsidRDefault="005D5780"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13BB882C" w:rsidR="00684C7E" w:rsidRPr="005162DE" w:rsidRDefault="00684C7E" w:rsidP="00684C7E">
            <w:pPr>
              <w:spacing w:before="40" w:after="40"/>
              <w:jc w:val="center"/>
              <w:rPr>
                <w:rFonts w:ascii="Arial" w:hAnsi="Arial" w:cs="Arial"/>
                <w:sz w:val="24"/>
                <w:szCs w:val="24"/>
              </w:rPr>
            </w:pPr>
          </w:p>
        </w:tc>
        <w:tc>
          <w:tcPr>
            <w:tcW w:w="1530" w:type="dxa"/>
            <w:tcMar>
              <w:left w:w="58" w:type="dxa"/>
              <w:right w:w="58" w:type="dxa"/>
            </w:tcMar>
          </w:tcPr>
          <w:p w14:paraId="2BE476FB" w14:textId="1C63B0F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386F0257" w:rsidR="005D3708" w:rsidRPr="005162DE" w:rsidRDefault="005D3708" w:rsidP="00070C22">
      <w:pPr>
        <w:pStyle w:val="Caption"/>
      </w:pPr>
      <w:r w:rsidRPr="005162DE">
        <w:lastRenderedPageBreak/>
        <w:t xml:space="preserve">Table </w:t>
      </w:r>
      <w:fldSimple w:instr=" SEQ Table \* ARABIC ">
        <w:r w:rsidR="00074604">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6D94B95" w:rsidR="00512D8C" w:rsidRPr="005162DE" w:rsidRDefault="00402794"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440" w:type="dxa"/>
          </w:tcPr>
          <w:p w14:paraId="21F7006B" w14:textId="5A91BCB5" w:rsidR="00512D8C" w:rsidRPr="005162DE" w:rsidRDefault="00402794" w:rsidP="00512D8C">
            <w:pPr>
              <w:keepNext/>
              <w:keepLines/>
              <w:spacing w:before="40" w:after="40"/>
              <w:jc w:val="center"/>
              <w:rPr>
                <w:rFonts w:ascii="Arial" w:hAnsi="Arial" w:cs="Arial"/>
                <w:sz w:val="24"/>
                <w:szCs w:val="24"/>
              </w:rPr>
            </w:pPr>
            <w:r>
              <w:rPr>
                <w:rFonts w:ascii="Arial" w:hAnsi="Arial" w:cs="Arial"/>
                <w:sz w:val="24"/>
                <w:szCs w:val="24"/>
              </w:rPr>
              <w:t>0</w:t>
            </w:r>
            <w:r w:rsidR="00FD36D7">
              <w:rPr>
                <w:rFonts w:ascii="Arial" w:hAnsi="Arial" w:cs="Arial"/>
                <w:sz w:val="24"/>
                <w:szCs w:val="24"/>
              </w:rPr>
              <w:t>1/09/24</w:t>
            </w:r>
          </w:p>
        </w:tc>
        <w:tc>
          <w:tcPr>
            <w:tcW w:w="1260" w:type="dxa"/>
          </w:tcPr>
          <w:p w14:paraId="1BD7CABC" w14:textId="0064765C" w:rsidR="00512D8C" w:rsidRPr="005162DE" w:rsidRDefault="00FD36D7" w:rsidP="00512D8C">
            <w:pPr>
              <w:keepNext/>
              <w:keepLines/>
              <w:spacing w:before="40" w:after="40"/>
              <w:jc w:val="center"/>
              <w:rPr>
                <w:rFonts w:ascii="Arial" w:hAnsi="Arial" w:cs="Arial"/>
                <w:sz w:val="24"/>
                <w:szCs w:val="24"/>
              </w:rPr>
            </w:pPr>
            <w:r>
              <w:rPr>
                <w:rFonts w:ascii="Arial" w:hAnsi="Arial" w:cs="Arial"/>
                <w:sz w:val="24"/>
                <w:szCs w:val="24"/>
              </w:rPr>
              <w:t>0.9</w:t>
            </w:r>
          </w:p>
        </w:tc>
        <w:tc>
          <w:tcPr>
            <w:tcW w:w="1530" w:type="dxa"/>
          </w:tcPr>
          <w:p w14:paraId="40895B2C" w14:textId="3FAF6E79" w:rsidR="00512D8C" w:rsidRPr="005162DE" w:rsidRDefault="00402794" w:rsidP="00512D8C">
            <w:pPr>
              <w:keepNext/>
              <w:keepLines/>
              <w:spacing w:before="40" w:after="40"/>
              <w:jc w:val="center"/>
              <w:rPr>
                <w:rFonts w:ascii="Arial" w:hAnsi="Arial" w:cs="Arial"/>
                <w:sz w:val="24"/>
                <w:szCs w:val="24"/>
              </w:rPr>
            </w:pPr>
            <w:r>
              <w:rPr>
                <w:rFonts w:ascii="Arial" w:hAnsi="Arial" w:cs="Arial"/>
                <w:sz w:val="24"/>
                <w:szCs w:val="24"/>
              </w:rPr>
              <w:t>0.1</w:t>
            </w:r>
          </w:p>
        </w:tc>
        <w:tc>
          <w:tcPr>
            <w:tcW w:w="1170" w:type="dxa"/>
          </w:tcPr>
          <w:p w14:paraId="707B8EC2" w14:textId="2568735F" w:rsidR="00512D8C" w:rsidRPr="005162DE" w:rsidRDefault="00402794"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3D281088" w:rsidR="00512D8C" w:rsidRPr="005162DE" w:rsidRDefault="00402794"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2CB42B82" w:rsidR="00512D8C" w:rsidRPr="005162DE" w:rsidRDefault="00402794" w:rsidP="00512D8C">
            <w:pPr>
              <w:keepNext/>
              <w:keepLines/>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bl>
    <w:p w14:paraId="7CEB1FE7" w14:textId="2CEA246E" w:rsidR="005D3708" w:rsidRPr="005162DE" w:rsidRDefault="005D3708" w:rsidP="00070C22">
      <w:pPr>
        <w:pStyle w:val="Caption"/>
      </w:pPr>
      <w:r w:rsidRPr="005162DE">
        <w:t xml:space="preserve">Table </w:t>
      </w:r>
      <w:fldSimple w:instr=" SEQ Table \* ARABIC ">
        <w:r w:rsidR="00074604">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4A3D81B" w:rsidR="00086BEB" w:rsidRPr="005162DE" w:rsidRDefault="0078369F"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1CD1993C" w:rsidR="00086BEB" w:rsidRPr="005162DE" w:rsidRDefault="00086BEB" w:rsidP="004179E4">
            <w:pPr>
              <w:spacing w:before="40" w:after="40"/>
              <w:jc w:val="center"/>
              <w:rPr>
                <w:rFonts w:ascii="Arial" w:hAnsi="Arial" w:cs="Arial"/>
                <w:sz w:val="24"/>
                <w:szCs w:val="24"/>
              </w:rPr>
            </w:pPr>
          </w:p>
        </w:tc>
        <w:tc>
          <w:tcPr>
            <w:tcW w:w="1260" w:type="dxa"/>
          </w:tcPr>
          <w:p w14:paraId="5D465B29" w14:textId="2FF04C45" w:rsidR="00086BEB" w:rsidRPr="005162DE" w:rsidRDefault="00086BEB" w:rsidP="004179E4">
            <w:pPr>
              <w:spacing w:before="40" w:after="40"/>
              <w:jc w:val="center"/>
              <w:rPr>
                <w:rFonts w:ascii="Arial" w:hAnsi="Arial" w:cs="Arial"/>
                <w:sz w:val="24"/>
                <w:szCs w:val="24"/>
              </w:rPr>
            </w:pPr>
          </w:p>
        </w:tc>
        <w:tc>
          <w:tcPr>
            <w:tcW w:w="1530" w:type="dxa"/>
          </w:tcPr>
          <w:p w14:paraId="6F2413BA" w14:textId="30AAB2C2" w:rsidR="00086BEB" w:rsidRPr="005162DE" w:rsidRDefault="00086BEB" w:rsidP="004179E4">
            <w:pPr>
              <w:spacing w:before="40" w:after="40"/>
              <w:jc w:val="center"/>
              <w:rPr>
                <w:rFonts w:ascii="Arial" w:hAnsi="Arial" w:cs="Arial"/>
                <w:sz w:val="24"/>
                <w:szCs w:val="24"/>
              </w:rPr>
            </w:pPr>
          </w:p>
        </w:tc>
        <w:tc>
          <w:tcPr>
            <w:tcW w:w="900" w:type="dxa"/>
          </w:tcPr>
          <w:p w14:paraId="5615AC9F" w14:textId="1F987F17" w:rsidR="00086BEB" w:rsidRPr="005162DE" w:rsidRDefault="00086BEB" w:rsidP="004179E4">
            <w:pPr>
              <w:spacing w:before="40" w:after="40"/>
              <w:jc w:val="center"/>
              <w:rPr>
                <w:rFonts w:ascii="Arial" w:hAnsi="Arial" w:cs="Arial"/>
                <w:sz w:val="24"/>
                <w:szCs w:val="24"/>
              </w:rPr>
            </w:pPr>
          </w:p>
        </w:tc>
        <w:tc>
          <w:tcPr>
            <w:tcW w:w="1170" w:type="dxa"/>
          </w:tcPr>
          <w:p w14:paraId="188C38E4" w14:textId="38505B30" w:rsidR="00086BEB" w:rsidRPr="005162DE" w:rsidRDefault="00086BEB" w:rsidP="004179E4">
            <w:pPr>
              <w:spacing w:before="40" w:after="40"/>
              <w:jc w:val="center"/>
              <w:rPr>
                <w:rFonts w:ascii="Arial" w:hAnsi="Arial" w:cs="Arial"/>
                <w:sz w:val="24"/>
                <w:szCs w:val="24"/>
              </w:rPr>
            </w:pPr>
          </w:p>
        </w:tc>
        <w:tc>
          <w:tcPr>
            <w:tcW w:w="2291" w:type="dxa"/>
          </w:tcPr>
          <w:p w14:paraId="566F303C" w14:textId="7DC7255D" w:rsidR="00086BEB" w:rsidRPr="005162DE" w:rsidRDefault="00086BEB" w:rsidP="00086BEB">
            <w:pPr>
              <w:spacing w:before="40" w:after="40"/>
              <w:rPr>
                <w:rFonts w:ascii="Arial" w:hAnsi="Arial" w:cs="Arial"/>
                <w:sz w:val="24"/>
                <w:szCs w:val="24"/>
              </w:rPr>
            </w:pPr>
          </w:p>
        </w:tc>
      </w:tr>
    </w:tbl>
    <w:p w14:paraId="69D3A731" w14:textId="731DBBE7" w:rsidR="005D3708" w:rsidRDefault="005D3708" w:rsidP="0078369F">
      <w:pPr>
        <w:pStyle w:val="Caption"/>
        <w:widowControl w:val="0"/>
        <w:spacing w:line="720" w:lineRule="auto"/>
      </w:pPr>
      <w:r w:rsidRPr="005162DE">
        <w:t xml:space="preserve">Table </w:t>
      </w:r>
      <w:fldSimple w:instr=" SEQ Table \* ARABIC ">
        <w:r w:rsidR="00074604">
          <w:rPr>
            <w:noProof/>
          </w:rPr>
          <w:t>6</w:t>
        </w:r>
      </w:fldSimple>
      <w:r w:rsidRPr="005162DE">
        <w:t>.  Detection of Unregulated Contaminants</w:t>
      </w:r>
      <w:r w:rsidR="0078369F">
        <w:t xml:space="preserve"> ~ NONE</w:t>
      </w:r>
    </w:p>
    <w:p w14:paraId="7931D992" w14:textId="77777777" w:rsidR="0078369F" w:rsidRPr="0078369F" w:rsidRDefault="0078369F" w:rsidP="0078369F"/>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FEBFA6B" w:rsidR="001F503E" w:rsidRPr="005162DE" w:rsidRDefault="0078369F"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EEAEC9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582D6B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5773E22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3B7CA70"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CDDDD1E"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67884B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889336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284FF9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34DCDD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774250F0" w:rsidR="001F503E" w:rsidRPr="005162DE" w:rsidRDefault="007836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1C753D4" w:rsidR="00E80EE7" w:rsidRPr="005162DE" w:rsidRDefault="0078369F" w:rsidP="0087640F">
            <w:pPr>
              <w:spacing w:before="40" w:after="40"/>
              <w:jc w:val="center"/>
              <w:rPr>
                <w:rFonts w:ascii="Arial" w:hAnsi="Arial" w:cs="Arial"/>
                <w:sz w:val="24"/>
                <w:szCs w:val="24"/>
              </w:rPr>
            </w:pPr>
            <w:r>
              <w:rPr>
                <w:rFonts w:ascii="Arial" w:hAnsi="Arial" w:cs="Arial"/>
                <w:sz w:val="24"/>
                <w:szCs w:val="24"/>
              </w:rPr>
              <w:t>1 X MONTH</w:t>
            </w:r>
          </w:p>
        </w:tc>
        <w:tc>
          <w:tcPr>
            <w:tcW w:w="1080" w:type="dxa"/>
            <w:tcMar>
              <w:left w:w="58" w:type="dxa"/>
              <w:right w:w="58" w:type="dxa"/>
            </w:tcMar>
          </w:tcPr>
          <w:p w14:paraId="06B93DD8" w14:textId="6F8F395D" w:rsidR="00E80EE7" w:rsidRPr="005162DE" w:rsidRDefault="007836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B864A4F" w14:textId="641AE7FA" w:rsidR="00E80EE7" w:rsidRPr="005162DE" w:rsidRDefault="0078369F" w:rsidP="0087640F">
            <w:pPr>
              <w:spacing w:before="40" w:after="40"/>
              <w:jc w:val="center"/>
              <w:rPr>
                <w:rFonts w:ascii="Arial" w:hAnsi="Arial" w:cs="Arial"/>
                <w:sz w:val="24"/>
                <w:szCs w:val="24"/>
              </w:rPr>
            </w:pPr>
            <w:r>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4627EF56" w:rsidR="001F503E" w:rsidRPr="005162DE" w:rsidRDefault="007836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BA2DD89"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515A2AB" w:rsidR="001F503E" w:rsidRPr="005162DE" w:rsidRDefault="0078369F"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161CA01"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F5ADE41" w:rsidR="0087640F" w:rsidRPr="005162DE" w:rsidRDefault="0078369F"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30303740"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44C466F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DB008D2"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54F455F"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6D250242"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FD49962"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A0D24B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5471BDC"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54049F69"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C0D4938"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64BEB3F8"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30B2E0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5EF087F8"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C9D2A5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446EE02A"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6C9A95CE"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0171E4E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0967C033"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C451A2D"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9504" w14:textId="77777777" w:rsidR="00E714B6" w:rsidRDefault="00E714B6">
      <w:r>
        <w:separator/>
      </w:r>
    </w:p>
    <w:p w14:paraId="01A08B74" w14:textId="77777777" w:rsidR="00E714B6" w:rsidRDefault="00E714B6"/>
  </w:endnote>
  <w:endnote w:type="continuationSeparator" w:id="0">
    <w:p w14:paraId="70E48BA9" w14:textId="77777777" w:rsidR="00E714B6" w:rsidRDefault="00E714B6">
      <w:r>
        <w:continuationSeparator/>
      </w:r>
    </w:p>
    <w:p w14:paraId="0ACECCA5" w14:textId="77777777" w:rsidR="00E714B6" w:rsidRDefault="00E714B6"/>
  </w:endnote>
  <w:endnote w:type="continuationNotice" w:id="1">
    <w:p w14:paraId="61FD69A1" w14:textId="77777777" w:rsidR="00E714B6" w:rsidRDefault="00E7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04F8" w14:textId="77777777" w:rsidR="00E714B6" w:rsidRDefault="00E714B6">
      <w:r>
        <w:separator/>
      </w:r>
    </w:p>
    <w:p w14:paraId="42B581AC" w14:textId="77777777" w:rsidR="00E714B6" w:rsidRDefault="00E714B6"/>
  </w:footnote>
  <w:footnote w:type="continuationSeparator" w:id="0">
    <w:p w14:paraId="55EDF050" w14:textId="77777777" w:rsidR="00E714B6" w:rsidRDefault="00E714B6">
      <w:r>
        <w:continuationSeparator/>
      </w:r>
    </w:p>
    <w:p w14:paraId="242905A1" w14:textId="77777777" w:rsidR="00E714B6" w:rsidRDefault="00E714B6"/>
  </w:footnote>
  <w:footnote w:type="continuationNotice" w:id="1">
    <w:p w14:paraId="5ACF7B1A" w14:textId="77777777" w:rsidR="00E714B6" w:rsidRDefault="00E71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604"/>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85"/>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482"/>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A91"/>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99E"/>
    <w:rsid w:val="003F3A38"/>
    <w:rsid w:val="003F3F4C"/>
    <w:rsid w:val="003F5E00"/>
    <w:rsid w:val="00401832"/>
    <w:rsid w:val="00402794"/>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02AC"/>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5780"/>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2F10"/>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5A0A"/>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69F"/>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0B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18F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2D0F"/>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01DD"/>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4B6"/>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36D7"/>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FLORENCIO PEREZ</cp:lastModifiedBy>
  <cp:revision>3</cp:revision>
  <cp:lastPrinted>2025-06-17T19:15:00Z</cp:lastPrinted>
  <dcterms:created xsi:type="dcterms:W3CDTF">2025-06-17T19:06:00Z</dcterms:created>
  <dcterms:modified xsi:type="dcterms:W3CDTF">2025-06-17T19:17:00Z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