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2021 Consumer Confidence Report</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Water System Information</w:t>
      </w:r>
    </w:p>
    <w:p>
      <w:pPr>
        <w:spacing w:before="0" w:after="24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Water System Name:  </w:t>
      </w:r>
      <w:r>
        <w:rPr>
          <w:rFonts w:ascii="Arial" w:hAnsi="Arial" w:cs="Arial" w:eastAsia="Arial"/>
          <w:b/>
          <w:color w:val="auto"/>
          <w:spacing w:val="0"/>
          <w:position w:val="0"/>
          <w:sz w:val="24"/>
          <w:shd w:fill="auto" w:val="clear"/>
        </w:rPr>
        <w:t xml:space="preserve">Lower Deer Creek</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Report Date: June 13th 2022</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Type of Water Source(s) in Use: </w:t>
      </w:r>
      <w:r>
        <w:rPr>
          <w:rFonts w:ascii="Arial" w:hAnsi="Arial" w:cs="Arial" w:eastAsia="Arial"/>
          <w:b/>
          <w:color w:val="auto"/>
          <w:spacing w:val="0"/>
          <w:position w:val="0"/>
          <w:sz w:val="24"/>
          <w:shd w:fill="auto" w:val="clear"/>
        </w:rPr>
        <w:t xml:space="preserve">Spring</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and General Location of Source(s): </w:t>
      </w:r>
      <w:r>
        <w:rPr>
          <w:rFonts w:ascii="Arial" w:hAnsi="Arial" w:cs="Arial" w:eastAsia="Arial"/>
          <w:b/>
          <w:color w:val="auto"/>
          <w:spacing w:val="0"/>
          <w:position w:val="0"/>
          <w:sz w:val="24"/>
          <w:shd w:fill="auto" w:val="clear"/>
        </w:rPr>
        <w:t xml:space="preserve">4 GPM Spring just off of Deer Creek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Drinking Water Source Assessment Information:  Clean Spring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More Information, Contact: Doug Machado (805) 400-9037</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This Report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test the drinking water quality for many constituents as required by state and federal regulations.  This report shows the results of our monitoring for the period of January 1 to December 31, </w:t>
      </w:r>
      <w:r>
        <w:rPr>
          <w:rFonts w:ascii="Arial" w:hAnsi="Arial" w:cs="Arial" w:eastAsia="Arial"/>
          <w:color w:val="auto"/>
          <w:spacing w:val="0"/>
          <w:position w:val="0"/>
          <w:sz w:val="24"/>
          <w:shd w:fill="FFFF00" w:val="clear"/>
        </w:rPr>
        <w:t xml:space="preserve">2021</w:t>
      </w:r>
      <w:r>
        <w:rPr>
          <w:rFonts w:ascii="Arial" w:hAnsi="Arial" w:cs="Arial" w:eastAsia="Arial"/>
          <w:color w:val="auto"/>
          <w:spacing w:val="0"/>
          <w:position w:val="0"/>
          <w:sz w:val="24"/>
          <w:shd w:fill="auto" w:val="clear"/>
        </w:rPr>
        <w:t xml:space="preserve"> and may include earlier monitoring data.</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Importance of This Report Statement in Five Non-English Languages (Spanish, Mandarin, Tagalog, Vietnamese, and Hmong)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Spanish:  Este informe contiene información muy importante sobre su agua para beber.  Favor de comunicarse [Enter Water System’s Name] a [Enter Water System’s Address or Phone Number] para asistirlo en español.</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Mandarin:  </w:t>
      </w:r>
      <w:r>
        <w:rPr>
          <w:rFonts w:ascii="SimSun" w:hAnsi="SimSun" w:cs="SimSun" w:eastAsia="SimSun"/>
          <w:color w:val="auto"/>
          <w:spacing w:val="0"/>
          <w:position w:val="0"/>
          <w:sz w:val="24"/>
          <w:shd w:fill="auto" w:val="clear"/>
        </w:rPr>
        <w:t xml:space="preserve">这份报告含有关于您的饮用水的重要讯息。请用以下地址和电话联系</w:t>
      </w:r>
      <w:r>
        <w:rPr>
          <w:rFonts w:ascii="Arial" w:hAnsi="Arial" w:cs="Arial" w:eastAsia="Arial"/>
          <w:color w:val="auto"/>
          <w:spacing w:val="0"/>
          <w:position w:val="0"/>
          <w:sz w:val="24"/>
          <w:shd w:fill="auto" w:val="clear"/>
        </w:rPr>
        <w:t xml:space="preserve"> [Enter Water System Name]</w:t>
      </w:r>
      <w:r>
        <w:rPr>
          <w:rFonts w:ascii="SimSun" w:hAnsi="SimSun" w:cs="SimSun" w:eastAsia="SimSun"/>
          <w:color w:val="auto"/>
          <w:spacing w:val="0"/>
          <w:position w:val="0"/>
          <w:sz w:val="24"/>
          <w:shd w:fill="auto" w:val="clear"/>
        </w:rPr>
        <w:t xml:space="preserve">以获得中文的帮助</w:t>
      </w:r>
      <w:r>
        <w:rPr>
          <w:rFonts w:ascii="Arial" w:hAnsi="Arial" w:cs="Arial" w:eastAsia="Arial"/>
          <w:color w:val="auto"/>
          <w:spacing w:val="0"/>
          <w:position w:val="0"/>
          <w:sz w:val="24"/>
          <w:shd w:fill="auto" w:val="clear"/>
        </w:rPr>
        <w:t xml:space="preserve">: [Enter Water System’s Address][Enter Water System’s Phone Number].</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Vietnamese:  Báo cáo này ch</w:t>
      </w:r>
      <w:r>
        <w:rPr>
          <w:rFonts w:ascii="Arial" w:hAnsi="Arial" w:cs="Arial" w:eastAsia="Arial"/>
          <w:color w:val="auto"/>
          <w:spacing w:val="0"/>
          <w:position w:val="0"/>
          <w:sz w:val="24"/>
          <w:shd w:fill="auto" w:val="clear"/>
        </w:rPr>
        <w:t xml:space="preserve">ứa th</w:t>
      </w:r>
      <w:r>
        <w:rPr>
          <w:rFonts w:ascii="Arial" w:hAnsi="Arial" w:cs="Arial" w:eastAsia="Arial"/>
          <w:color w:val="auto"/>
          <w:spacing w:val="0"/>
          <w:position w:val="0"/>
          <w:sz w:val="24"/>
          <w:shd w:fill="auto" w:val="clear"/>
        </w:rPr>
        <w:t xml:space="preserve">ông tin quan tr</w:t>
      </w:r>
      <w:r>
        <w:rPr>
          <w:rFonts w:ascii="Arial" w:hAnsi="Arial" w:cs="Arial" w:eastAsia="Arial"/>
          <w:color w:val="auto"/>
          <w:spacing w:val="0"/>
          <w:position w:val="0"/>
          <w:sz w:val="24"/>
          <w:shd w:fill="auto" w:val="clear"/>
        </w:rPr>
        <w:t xml:space="preserve">ọng về n</w:t>
      </w:r>
      <w:r>
        <w:rPr>
          <w:rFonts w:ascii="Arial" w:hAnsi="Arial" w:cs="Arial" w:eastAsia="Arial"/>
          <w:color w:val="auto"/>
          <w:spacing w:val="0"/>
          <w:position w:val="0"/>
          <w:sz w:val="24"/>
          <w:shd w:fill="auto" w:val="clear"/>
        </w:rPr>
        <w:t xml:space="preserve">ư</w:t>
      </w:r>
      <w:r>
        <w:rPr>
          <w:rFonts w:ascii="Arial" w:hAnsi="Arial" w:cs="Arial" w:eastAsia="Arial"/>
          <w:color w:val="auto"/>
          <w:spacing w:val="0"/>
          <w:position w:val="0"/>
          <w:sz w:val="24"/>
          <w:shd w:fill="auto" w:val="clear"/>
        </w:rPr>
        <w:t xml:space="preserve">ớc uống của bạn.  Xin vui l</w:t>
      </w:r>
      <w:r>
        <w:rPr>
          <w:rFonts w:ascii="Arial" w:hAnsi="Arial" w:cs="Arial" w:eastAsia="Arial"/>
          <w:color w:val="auto"/>
          <w:spacing w:val="0"/>
          <w:position w:val="0"/>
          <w:sz w:val="24"/>
          <w:shd w:fill="auto" w:val="clear"/>
        </w:rPr>
        <w:t xml:space="preserve">òng liên h</w:t>
      </w:r>
      <w:r>
        <w:rPr>
          <w:rFonts w:ascii="Arial" w:hAnsi="Arial" w:cs="Arial" w:eastAsia="Arial"/>
          <w:color w:val="auto"/>
          <w:spacing w:val="0"/>
          <w:position w:val="0"/>
          <w:sz w:val="24"/>
          <w:shd w:fill="auto" w:val="clear"/>
        </w:rPr>
        <w:t xml:space="preserve">ệ [Enter Water System’s Name] tại [Enter Water System’s Address or Phone Number] </w:t>
      </w:r>
      <w:r>
        <w:rPr>
          <w:rFonts w:ascii="Arial" w:hAnsi="Arial" w:cs="Arial" w:eastAsia="Arial"/>
          <w:color w:val="auto"/>
          <w:spacing w:val="0"/>
          <w:position w:val="0"/>
          <w:sz w:val="24"/>
          <w:shd w:fill="auto" w:val="clear"/>
        </w:rPr>
        <w:t xml:space="preserve">đ</w:t>
      </w:r>
      <w:r>
        <w:rPr>
          <w:rFonts w:ascii="Arial" w:hAnsi="Arial" w:cs="Arial" w:eastAsia="Arial"/>
          <w:color w:val="auto"/>
          <w:spacing w:val="0"/>
          <w:position w:val="0"/>
          <w:sz w:val="24"/>
          <w:shd w:fill="auto" w:val="clear"/>
        </w:rPr>
        <w:t xml:space="preserve">ể </w:t>
      </w:r>
      <w:r>
        <w:rPr>
          <w:rFonts w:ascii="Arial" w:hAnsi="Arial" w:cs="Arial" w:eastAsia="Arial"/>
          <w:color w:val="auto"/>
          <w:spacing w:val="0"/>
          <w:position w:val="0"/>
          <w:sz w:val="24"/>
          <w:shd w:fill="auto" w:val="clear"/>
        </w:rPr>
        <w:t xml:space="preserve">đư</w:t>
      </w:r>
      <w:r>
        <w:rPr>
          <w:rFonts w:ascii="Arial" w:hAnsi="Arial" w:cs="Arial" w:eastAsia="Arial"/>
          <w:color w:val="auto"/>
          <w:spacing w:val="0"/>
          <w:position w:val="0"/>
          <w:sz w:val="24"/>
          <w:shd w:fill="auto" w:val="clear"/>
        </w:rPr>
        <w:t xml:space="preserve">ợc hỗ trợ gi</w:t>
      </w:r>
      <w:r>
        <w:rPr>
          <w:rFonts w:ascii="Arial" w:hAnsi="Arial" w:cs="Arial" w:eastAsia="Arial"/>
          <w:color w:val="auto"/>
          <w:spacing w:val="0"/>
          <w:position w:val="0"/>
          <w:sz w:val="24"/>
          <w:shd w:fill="auto" w:val="clear"/>
        </w:rPr>
        <w:t xml:space="preserve">úp b</w:t>
      </w:r>
      <w:r>
        <w:rPr>
          <w:rFonts w:ascii="Arial" w:hAnsi="Arial" w:cs="Arial" w:eastAsia="Arial"/>
          <w:color w:val="auto"/>
          <w:spacing w:val="0"/>
          <w:position w:val="0"/>
          <w:sz w:val="24"/>
          <w:shd w:fill="auto" w:val="clear"/>
        </w:rPr>
        <w:t xml:space="preserve">ằng tiếng Việt.</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Hmong:  Tsab ntawv no muaj cov ntsiab lus tseem ceeb txog koj cov dej haus.  Thov hu rau [Enter Water System’s Name] ntawm [Enter Water System’s Address or Phone Number ] rau kev pab hauv lus Askiv.</w:t>
      </w:r>
    </w:p>
    <w:p>
      <w:pPr>
        <w:keepNext w:val="true"/>
        <w:spacing w:before="0" w:after="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Terms Used in This Report</w:t>
      </w:r>
    </w:p>
    <w:tbl>
      <w:tblPr/>
      <w:tblGrid>
        <w:gridCol w:w="2695"/>
        <w:gridCol w:w="8095"/>
      </w:tblGrid>
      <w:tr>
        <w:trPr>
          <w:trHeight w:val="226" w:hRule="auto"/>
          <w:jc w:val="left"/>
        </w:trPr>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Term</w:t>
            </w:r>
          </w:p>
        </w:tc>
        <w:tc>
          <w:tcPr>
            <w:tcW w:w="8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Definition</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Level 1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Level 1 assessment is a study of the water system to identify potential problems and determine (if possible) why total coliform bacteria have been found in our water system.</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Level 2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Level 2 assessment is a very detailed study of the water system to identify potential problems and determine (if possible) why an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MCL violation has occurred and/or why total coliform bacteria have been found in our water system on multiple occasions.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Contaminant Level (MCL)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Contaminant Level Goal (MCLG)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MCLGs are set by the U.S. Environmental Protection Agency (U.S. EPA).</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Residual Disinfectant Level (MRDL)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highest level of a disinfectant allowed in drinking water.  There is convincing evidence that addition of a disinfectant is necessary for control of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Residual Disinfectant Level Goal (MRDLG)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drinking water disinfectant below which there is no known or expected risk to health.  MRDLGs do not reflect the benefits of the use of disinfectants to control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Primary Drinking Water Standards (PDWS)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MCLs and MRDLs for contaminants that affect health along with their monitoring and reporting requirements, and water treatment requirements.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Public Health Goal</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PHGs are set by the California Environmental Protection Agency.</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Regulatory Action Level</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concentration of a contaminant which, if exceeded, triggers treatment or other requirements that a water system must follow.</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Secondary Drinking Water Standards (SDWS)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MCLs for contaminants that affect taste, odor, or appearance of the drinking water.  Contaminants with SDWSs do not affect the health at the MCL levels.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Treatment Technique</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required process intended to reduce the level of a contaminant in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Variances and Exemptions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Permissions from the State Water Resources Control Board (State Board) to exceed an MCL or not comply with a treatment technique under certain conditions.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ND</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Not detectable at testing limit.</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ppm</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million or milligrams per liter (mg/L)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ppb</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billion or micrograms per liter (µg/L)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trillion or nanograms per liter (ng/L)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ppq</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quadrillion or picogram per liter (pg/L)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pCi/L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picocuries per liter (a measure of radiation)</w:t>
            </w:r>
          </w:p>
        </w:tc>
      </w:tr>
    </w:tbl>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Sources of Drinking Water and Contaminants that May Be Present in Source Water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Contaminants that may be present in source water include: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Microbial contaminants, such as viruses and bacteria, that may come from sewage treatment plants, septic systems, agricultural livestock operations, and wildlife.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Inorganic contaminants, such as salts and metals, that can be naturally-occurring or result from urban stormwater runoff, industrial or domestic wastewater discharges, oil and gas production, mining, or farming.</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Pesticides and herbicides, that may come from a variety of sources such as agriculture, urban stormwater runoff, and residential uses.</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pPr>
        <w:numPr>
          <w:ilvl w:val="0"/>
          <w:numId w:val="5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Radioactive contaminants, that can be naturally-occurring or be the result of oil and gas production and mining activities.</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Regulation of Drinking Water and Bottled Water Quality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Your Drinking Water Quality</w:t>
      </w:r>
    </w:p>
    <w:p>
      <w:pPr>
        <w:spacing w:before="120" w:after="12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Drinking Water Contaminants Detected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Table 1.A. Compliance with Total Coliform MCL between January 1, 2021 and June 30, 2021 (inclusive)</w:t>
      </w:r>
    </w:p>
    <w:p>
      <w:pPr>
        <w:spacing w:before="0" w:after="0" w:line="240"/>
        <w:ind w:right="0" w:left="0" w:firstLine="0"/>
        <w:jc w:val="left"/>
        <w:rPr>
          <w:rFonts w:ascii="Arial" w:hAnsi="Arial" w:cs="Arial" w:eastAsia="Arial"/>
          <w:color w:val="auto"/>
          <w:spacing w:val="0"/>
          <w:position w:val="0"/>
          <w:sz w:val="24"/>
          <w:shd w:fill="FFFF00" w:val="clear"/>
        </w:rPr>
      </w:pPr>
    </w:p>
    <w:tbl>
      <w:tblPr/>
      <w:tblGrid>
        <w:gridCol w:w="2065"/>
        <w:gridCol w:w="1617"/>
        <w:gridCol w:w="1443"/>
        <w:gridCol w:w="2610"/>
        <w:gridCol w:w="990"/>
        <w:gridCol w:w="2071"/>
      </w:tblGrid>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Microbiological Contaminants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Highest No. of Detections</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No. of Months in Violation</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MCLG</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Typical Source of Bacteria</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Total Coliform Bacteria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(1)</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1 positive monthly sample (a)</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Naturally present in the environment</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rFonts w:ascii="Calibri" w:hAnsi="Calibri" w:cs="Calibri" w:eastAsia="Calibri"/>
                <w:color w:val="auto"/>
                <w:spacing w:val="0"/>
                <w:position w:val="0"/>
                <w:sz w:val="22"/>
                <w:shd w:fill="auto" w:val="clear"/>
              </w:rPr>
            </w:pP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 For systems collecting fewer than 40 samples per month: two or more positively monthly samples is a violation of the total coliform MCL</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For violation of the total coliform MCL, include potential adverse health effects, and actions taken by water system to address the violation</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[Enter information]</w:t>
      </w:r>
    </w:p>
    <w:p>
      <w:pPr>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Additional General Information on Drinking Water</w:t>
      </w:r>
    </w:p>
    <w:p>
      <w:pPr>
        <w:tabs>
          <w:tab w:val="left" w:pos="9900" w:leader="none"/>
        </w:tabs>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and other microbial contaminants are available from the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Enter Water System’s Name</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http://www.epa.gov/lead</w:t>
        </w:r>
      </w:hyperlink>
      <w:r>
        <w:rPr>
          <w:rFonts w:ascii="Arial" w:hAnsi="Arial" w:cs="Arial" w:eastAsia="Arial"/>
          <w:color w:val="auto"/>
          <w:spacing w:val="0"/>
          <w:position w:val="0"/>
          <w:sz w:val="24"/>
          <w:shd w:fill="auto" w:val="clear"/>
        </w:rPr>
        <w:t xml:space="preserv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 Special Language for Nitrate, Arsenic, Lead, Radon, and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[Enter Additional Information Described in Instructions for SWS CCR Document]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State Revised Total Coliform Rule (RTCR): [Enter Additional Information Described in Instructions for SWS CCR Document]</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Violation of a MCL, MRDL, AL, TT, or Monitoring and Reporting Requirement</w:t>
      </w: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7. Violation of a MCL, MRDL, AL, TT or Monitoring Reporting Requirement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Health Effects </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Failure to Test for Nitrates 2021</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Watermaster failed to take nitrate sample prior to seasonal close in October</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1 year</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Consumers notified and Nitrate Sample taken at season open 2022</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[none]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auto"/>
          <w:spacing w:val="0"/>
          <w:position w:val="0"/>
          <w:sz w:val="24"/>
          <w:shd w:fill="auto" w:val="clear"/>
        </w:rPr>
      </w:pP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For Water Systems Providing Groundwater as a Source of Drinking Water</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pa.gov/lea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