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AFF43E6" w:rsidR="00FF2A75" w:rsidRPr="003D0EFF" w:rsidRDefault="003D0EFF" w:rsidP="00B57F78">
            <w:pPr>
              <w:spacing w:before="40" w:after="40"/>
              <w:rPr>
                <w:b/>
                <w:bCs/>
                <w:sz w:val="22"/>
              </w:rPr>
            </w:pPr>
            <w:r>
              <w:rPr>
                <w:sz w:val="22"/>
              </w:rPr>
              <w:t>Riverview Water Association</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36EA071" w:rsidR="00FF2A75" w:rsidRPr="00453666" w:rsidRDefault="003D0EFF" w:rsidP="00B57F78">
            <w:pPr>
              <w:spacing w:before="40" w:after="40"/>
              <w:rPr>
                <w:sz w:val="22"/>
              </w:rPr>
            </w:pPr>
            <w:r>
              <w:rPr>
                <w:sz w:val="22"/>
              </w:rPr>
              <w:t>CA 0707577</w:t>
            </w:r>
          </w:p>
        </w:tc>
      </w:tr>
    </w:tbl>
    <w:p w14:paraId="20FFAEF4" w14:textId="45EAD59E"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w:t>
      </w:r>
      <w:r w:rsidR="003D0EFF">
        <w:rPr>
          <w:sz w:val="22"/>
          <w:szCs w:val="22"/>
        </w:rPr>
        <w:t>June 1, 2020</w:t>
      </w:r>
      <w:r w:rsidRPr="00453666">
        <w:rPr>
          <w:sz w:val="22"/>
          <w:szCs w:val="22"/>
        </w:rPr>
        <w:t>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2"/>
        <w:gridCol w:w="719"/>
        <w:gridCol w:w="212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16A89802" w:rsidR="00FF2A75" w:rsidRPr="00453666" w:rsidRDefault="003D0EF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Patricia Z Martin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046A8849" w:rsidR="00FF2A75" w:rsidRPr="003D0EFF" w:rsidRDefault="003D0EF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i/>
                <w:iCs/>
                <w:sz w:val="22"/>
                <w:szCs w:val="22"/>
              </w:rPr>
            </w:pPr>
            <w:r>
              <w:rPr>
                <w:b w:val="0"/>
                <w:bCs/>
                <w:i/>
                <w:iCs/>
                <w:sz w:val="22"/>
                <w:szCs w:val="22"/>
              </w:rPr>
              <w:t>Patricia Z Martin</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170BEBC" w:rsidR="00FF2A75" w:rsidRPr="00453666" w:rsidRDefault="003D0EF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President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6CE31E50"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proofErr w:type="gramEnd"/>
            <w:r w:rsidRPr="00453666">
              <w:rPr>
                <w:b w:val="0"/>
                <w:bCs/>
                <w:sz w:val="22"/>
                <w:szCs w:val="22"/>
              </w:rPr>
              <w:t xml:space="preserve"> </w:t>
            </w:r>
            <w:r w:rsidR="003D0EFF">
              <w:rPr>
                <w:b w:val="0"/>
                <w:bCs/>
                <w:sz w:val="22"/>
                <w:szCs w:val="22"/>
              </w:rPr>
              <w:t>925</w:t>
            </w:r>
            <w:r w:rsidRPr="00453666">
              <w:rPr>
                <w:b w:val="0"/>
                <w:bCs/>
                <w:sz w:val="22"/>
                <w:szCs w:val="22"/>
              </w:rPr>
              <w:t xml:space="preserve">  </w:t>
            </w:r>
            <w:r w:rsidR="008B4CAC">
              <w:rPr>
                <w:b w:val="0"/>
                <w:bCs/>
                <w:sz w:val="22"/>
                <w:szCs w:val="22"/>
              </w:rPr>
              <w:t xml:space="preserve"> </w:t>
            </w:r>
            <w:r w:rsidRPr="00453666">
              <w:rPr>
                <w:b w:val="0"/>
                <w:bCs/>
                <w:sz w:val="22"/>
                <w:szCs w:val="22"/>
              </w:rPr>
              <w:t>)</w:t>
            </w:r>
            <w:r w:rsidR="003D0EFF">
              <w:rPr>
                <w:b w:val="0"/>
                <w:bCs/>
                <w:sz w:val="22"/>
                <w:szCs w:val="22"/>
              </w:rPr>
              <w:t xml:space="preserve"> 684-2129</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0FA27B1" w:rsidR="00FF2A75" w:rsidRPr="00453666" w:rsidRDefault="003D0EF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June 1, 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881D1F8" w:rsidR="00FF2A75" w:rsidRPr="00453666" w:rsidRDefault="003D0EFF" w:rsidP="006E4E67">
      <w:pPr>
        <w:tabs>
          <w:tab w:val="left" w:pos="9360"/>
        </w:tabs>
        <w:spacing w:after="120"/>
        <w:ind w:left="547" w:hanging="547"/>
        <w:rPr>
          <w:sz w:val="22"/>
        </w:rPr>
      </w:pPr>
      <w:r>
        <w:rPr>
          <w:sz w:val="22"/>
        </w:rPr>
        <w:t>X</w:t>
      </w:r>
      <w:r w:rsidR="00FF2A75" w:rsidRPr="00453666">
        <w:rPr>
          <w:sz w:val="22"/>
        </w:rPr>
        <w:tab/>
        <w:t>CCR was distributed by mail or other direct delivery methods.  Specify other direct delivery methods used:</w:t>
      </w:r>
      <w:r>
        <w:rPr>
          <w:sz w:val="22"/>
        </w:rPr>
        <w:t xml:space="preserve">      </w:t>
      </w:r>
      <w:r w:rsidR="00FF2A75" w:rsidRPr="00453666">
        <w:rPr>
          <w:sz w:val="22"/>
        </w:rPr>
        <w:t xml:space="preserve">  </w:t>
      </w:r>
      <w:r>
        <w:rPr>
          <w:sz w:val="22"/>
        </w:rPr>
        <w:t>email and USPS as needed</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A82CE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82CEB">
        <w:rPr>
          <w:sz w:val="22"/>
        </w:rPr>
      </w:r>
      <w:r w:rsidR="00A82CE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2CEB">
        <w:rPr>
          <w:sz w:val="22"/>
          <w:szCs w:val="22"/>
        </w:rPr>
      </w:r>
      <w:r w:rsidR="00A82CE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A82CE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82CEB">
        <w:rPr>
          <w:sz w:val="22"/>
        </w:rPr>
      </w:r>
      <w:r w:rsidR="00A82CE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B29A1" w14:textId="77777777" w:rsidR="00A82CEB" w:rsidRDefault="00A82CEB">
      <w:r>
        <w:separator/>
      </w:r>
    </w:p>
  </w:endnote>
  <w:endnote w:type="continuationSeparator" w:id="0">
    <w:p w14:paraId="53D0FC42" w14:textId="77777777" w:rsidR="00A82CEB" w:rsidRDefault="00A8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49F57" w14:textId="77777777" w:rsidR="00A82CEB" w:rsidRDefault="00A82CEB">
      <w:r>
        <w:separator/>
      </w:r>
    </w:p>
  </w:footnote>
  <w:footnote w:type="continuationSeparator" w:id="0">
    <w:p w14:paraId="021B140F" w14:textId="77777777" w:rsidR="00A82CEB" w:rsidRDefault="00A8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0EFF"/>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CEB"/>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6513-0725-40C5-9469-826C4729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2734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Patty Martin</cp:lastModifiedBy>
  <cp:revision>2</cp:revision>
  <cp:lastPrinted>2019-01-17T17:17:00Z</cp:lastPrinted>
  <dcterms:created xsi:type="dcterms:W3CDTF">2020-05-26T01:11:00Z</dcterms:created>
  <dcterms:modified xsi:type="dcterms:W3CDTF">2020-05-26T01:11:00Z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