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8782D4F" w:rsidR="00BC6327" w:rsidRPr="00412B2F" w:rsidRDefault="00277A1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CUSD</w:t>
            </w:r>
            <w:proofErr w:type="spellEnd"/>
            <w:r>
              <w:rPr>
                <w:b/>
                <w:sz w:val="21"/>
                <w:szCs w:val="21"/>
              </w:rPr>
              <w:t xml:space="preserve"> –</w:t>
            </w:r>
            <w:r w:rsidR="00540B39">
              <w:rPr>
                <w:b/>
                <w:sz w:val="21"/>
                <w:szCs w:val="21"/>
              </w:rPr>
              <w:t xml:space="preserve"> </w:t>
            </w:r>
            <w:proofErr w:type="spellStart"/>
            <w:r w:rsidR="00540B39">
              <w:rPr>
                <w:b/>
                <w:sz w:val="21"/>
                <w:szCs w:val="21"/>
              </w:rPr>
              <w:t>Toyon</w:t>
            </w:r>
            <w:proofErr w:type="spellEnd"/>
            <w:r w:rsidR="00540B39">
              <w:rPr>
                <w:b/>
                <w:sz w:val="21"/>
                <w:szCs w:val="21"/>
              </w:rPr>
              <w:t xml:space="preserve"> Middle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62459D" w:rsidR="00BC6327" w:rsidRPr="00412B2F" w:rsidRDefault="00277A1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6/24/2019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1AB89DE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155987" w:rsidR="00BC6327" w:rsidRPr="00412B2F" w:rsidRDefault="00277A1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1183A15" w:rsidR="00BC6327" w:rsidRPr="00412B2F" w:rsidRDefault="00277A1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Calaveras Unified School District, 3304 Highway 12, San Andreas, Ca. 95249</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F1CF78D" w:rsidR="00BC6327" w:rsidRPr="00412B2F" w:rsidRDefault="00D31ED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w:t>
            </w:r>
            <w:r w:rsidRPr="00D31EDD">
              <w:rPr>
                <w:sz w:val="21"/>
                <w:szCs w:val="21"/>
                <w:vertAlign w:val="superscript"/>
              </w:rPr>
              <w:t>st</w:t>
            </w:r>
            <w:r>
              <w:rPr>
                <w:sz w:val="21"/>
                <w:szCs w:val="21"/>
              </w:rPr>
              <w:t xml:space="preserve"> and 3</w:t>
            </w:r>
            <w:r w:rsidRPr="00D31EDD">
              <w:rPr>
                <w:sz w:val="21"/>
                <w:szCs w:val="21"/>
                <w:vertAlign w:val="superscript"/>
              </w:rPr>
              <w:t>rd</w:t>
            </w:r>
            <w:r>
              <w:rPr>
                <w:sz w:val="21"/>
                <w:szCs w:val="21"/>
              </w:rPr>
              <w:t xml:space="preserve"> Tuesday of each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551B8D6" w:rsidR="00BC6327" w:rsidRPr="00412B2F" w:rsidRDefault="00D31ED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Cruz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839D65" w:rsidR="00BC6327" w:rsidRPr="00412B2F" w:rsidRDefault="00D31ED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209 754-2331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is allowed in drinking water.  Primary </w:t>
            </w:r>
            <w:proofErr w:type="spellStart"/>
            <w:r w:rsidRPr="0012764D">
              <w:rPr>
                <w:szCs w:val="21"/>
              </w:rPr>
              <w:t>MCLs</w:t>
            </w:r>
            <w:proofErr w:type="spellEnd"/>
            <w:r w:rsidRPr="0012764D">
              <w:rPr>
                <w:szCs w:val="21"/>
              </w:rPr>
              <w:t xml:space="preserve"> are set as close to the </w:t>
            </w:r>
            <w:proofErr w:type="spellStart"/>
            <w:r w:rsidRPr="0012764D">
              <w:rPr>
                <w:szCs w:val="21"/>
              </w:rPr>
              <w:t>PHGs</w:t>
            </w:r>
            <w:proofErr w:type="spellEnd"/>
            <w:r w:rsidRPr="0012764D">
              <w:rPr>
                <w:szCs w:val="21"/>
              </w:rPr>
              <w:t xml:space="preserve"> (or </w:t>
            </w:r>
            <w:proofErr w:type="spellStart"/>
            <w:r w:rsidRPr="0012764D">
              <w:rPr>
                <w:szCs w:val="21"/>
              </w:rPr>
              <w:t>MCLGs</w:t>
            </w:r>
            <w:proofErr w:type="spellEnd"/>
            <w:r w:rsidRPr="0012764D">
              <w:rPr>
                <w:szCs w:val="21"/>
              </w:rPr>
              <w:t xml:space="preserve">) as is economically and technologically feasible.  Secondary </w:t>
            </w:r>
            <w:proofErr w:type="spellStart"/>
            <w:r w:rsidRPr="0012764D">
              <w:rPr>
                <w:szCs w:val="21"/>
              </w:rPr>
              <w:t>MCLs</w:t>
            </w:r>
            <w:proofErr w:type="spellEnd"/>
            <w:r w:rsidRPr="0012764D">
              <w:rPr>
                <w:szCs w:val="21"/>
              </w:rPr>
              <w:t xml:space="preserve">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w:t>
            </w:r>
            <w:proofErr w:type="spellStart"/>
            <w:r w:rsidRPr="0012764D">
              <w:rPr>
                <w:b/>
                <w:szCs w:val="21"/>
              </w:rPr>
              <w:t>MCLG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MCLGs</w:t>
            </w:r>
            <w:proofErr w:type="spellEnd"/>
            <w:r w:rsidRPr="0012764D">
              <w:rPr>
                <w:szCs w:val="21"/>
              </w:rPr>
              <w:t xml:space="preserve">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w:t>
            </w:r>
            <w:proofErr w:type="spellStart"/>
            <w:r w:rsidRPr="0012764D">
              <w:rPr>
                <w:b/>
                <w:szCs w:val="21"/>
              </w:rPr>
              <w:t>PHG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PHGs</w:t>
            </w:r>
            <w:proofErr w:type="spellEnd"/>
            <w:r w:rsidRPr="0012764D">
              <w:rPr>
                <w:szCs w:val="21"/>
              </w:rPr>
              <w:t xml:space="preserve">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w:t>
            </w:r>
            <w:proofErr w:type="spellStart"/>
            <w:r w:rsidRPr="0012764D">
              <w:rPr>
                <w:b/>
                <w:bCs/>
                <w:szCs w:val="21"/>
              </w:rPr>
              <w:t>MRDL</w:t>
            </w:r>
            <w:proofErr w:type="spellEnd"/>
            <w:r w:rsidRPr="0012764D">
              <w:rPr>
                <w:b/>
                <w:bCs/>
                <w:szCs w:val="21"/>
              </w:rPr>
              <w:t>)</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w:t>
            </w:r>
            <w:proofErr w:type="spellStart"/>
            <w:r w:rsidRPr="0012764D">
              <w:rPr>
                <w:b/>
                <w:bCs/>
                <w:szCs w:val="21"/>
              </w:rPr>
              <w:t>MRDLG</w:t>
            </w:r>
            <w:proofErr w:type="spellEnd"/>
            <w:r w:rsidRPr="0012764D">
              <w:rPr>
                <w:b/>
                <w:bCs/>
                <w:szCs w:val="21"/>
              </w:rPr>
              <w:t>)</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w:t>
            </w:r>
            <w:proofErr w:type="spellStart"/>
            <w:r w:rsidRPr="0012764D">
              <w:rPr>
                <w:szCs w:val="21"/>
              </w:rPr>
              <w:t>MRDLGs</w:t>
            </w:r>
            <w:proofErr w:type="spellEnd"/>
            <w:r w:rsidRPr="0012764D">
              <w:rPr>
                <w:szCs w:val="21"/>
              </w:rPr>
              <w:t xml:space="preserve">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w:t>
            </w:r>
            <w:proofErr w:type="spellStart"/>
            <w:r w:rsidRPr="0012764D">
              <w:rPr>
                <w:b/>
                <w:szCs w:val="21"/>
              </w:rPr>
              <w:t>PDWS</w:t>
            </w:r>
            <w:proofErr w:type="spellEnd"/>
            <w:r w:rsidRPr="0012764D">
              <w:rPr>
                <w:b/>
                <w:szCs w:val="21"/>
              </w:rPr>
              <w:t>)</w:t>
            </w:r>
            <w:r w:rsidRPr="0012764D">
              <w:rPr>
                <w:szCs w:val="21"/>
              </w:rPr>
              <w:t xml:space="preserve">: </w:t>
            </w:r>
            <w:proofErr w:type="spellStart"/>
            <w:r w:rsidRPr="0012764D">
              <w:rPr>
                <w:szCs w:val="21"/>
              </w:rPr>
              <w:t>MCLs</w:t>
            </w:r>
            <w:proofErr w:type="spellEnd"/>
            <w:r w:rsidRPr="0012764D">
              <w:rPr>
                <w:szCs w:val="21"/>
              </w:rPr>
              <w:t xml:space="preserve"> and </w:t>
            </w:r>
            <w:proofErr w:type="spellStart"/>
            <w:r w:rsidRPr="0012764D">
              <w:rPr>
                <w:szCs w:val="21"/>
              </w:rPr>
              <w:t>MRDLs</w:t>
            </w:r>
            <w:proofErr w:type="spellEnd"/>
            <w:r w:rsidRPr="0012764D">
              <w:rPr>
                <w:szCs w:val="21"/>
              </w:rPr>
              <w:t xml:space="preserve">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w:t>
            </w:r>
            <w:proofErr w:type="spellStart"/>
            <w:r w:rsidRPr="0012764D">
              <w:rPr>
                <w:b/>
                <w:szCs w:val="21"/>
              </w:rPr>
              <w:t>SDWS</w:t>
            </w:r>
            <w:proofErr w:type="spellEnd"/>
            <w:r w:rsidRPr="0012764D">
              <w:rPr>
                <w:b/>
                <w:szCs w:val="21"/>
              </w:rPr>
              <w:t>)</w:t>
            </w:r>
            <w:r w:rsidRPr="0012764D">
              <w:rPr>
                <w:szCs w:val="21"/>
              </w:rPr>
              <w:t>:</w:t>
            </w:r>
            <w:r w:rsidRPr="0012764D">
              <w:rPr>
                <w:b/>
                <w:szCs w:val="21"/>
              </w:rPr>
              <w:t xml:space="preserve">  </w:t>
            </w:r>
            <w:proofErr w:type="spellStart"/>
            <w:r w:rsidRPr="0012764D">
              <w:rPr>
                <w:szCs w:val="21"/>
              </w:rPr>
              <w:t>MCLs</w:t>
            </w:r>
            <w:proofErr w:type="spellEnd"/>
            <w:r w:rsidRPr="0012764D">
              <w:rPr>
                <w:szCs w:val="21"/>
              </w:rPr>
              <w:t xml:space="preserve"> for contaminants that affect taste, odor, or appearance of the drinking water.  Contaminants with </w:t>
            </w:r>
            <w:proofErr w:type="spellStart"/>
            <w:r w:rsidRPr="0012764D">
              <w:rPr>
                <w:szCs w:val="21"/>
              </w:rPr>
              <w:t>SDWSs</w:t>
            </w:r>
            <w:proofErr w:type="spellEnd"/>
            <w:r w:rsidRPr="0012764D">
              <w:rPr>
                <w:szCs w:val="21"/>
              </w:rPr>
              <w:t xml:space="preserve">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39E16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653D9AC" w:rsidR="00D31EDD" w:rsidRPr="00F41F91" w:rsidRDefault="00540B3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15CED5B" w:rsidR="00BC6327" w:rsidRPr="00F41F91" w:rsidRDefault="00D31ED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1BC411A" w:rsidR="00BC6327" w:rsidRPr="00F41F91" w:rsidRDefault="00540B39"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908FB02" w14:textId="77777777" w:rsidR="008F7660" w:rsidRDefault="005540D9" w:rsidP="00383730">
            <w:pPr>
              <w:jc w:val="center"/>
              <w:rPr>
                <w:sz w:val="18"/>
                <w:szCs w:val="18"/>
              </w:rPr>
            </w:pPr>
            <w:r w:rsidRPr="00F41F91">
              <w:rPr>
                <w:sz w:val="18"/>
                <w:szCs w:val="18"/>
              </w:rPr>
              <w:t>(In the year)</w:t>
            </w:r>
          </w:p>
          <w:p w14:paraId="0F22EBDD" w14:textId="08924815" w:rsidR="00D31EDD" w:rsidRPr="00F41F91" w:rsidRDefault="00D31E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E404A0" w:rsidR="008F7660" w:rsidRPr="00F41F91" w:rsidRDefault="00D31E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C92546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4BCCB02" w:rsidR="00D31EDD" w:rsidRPr="00F41F91" w:rsidRDefault="00D31E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9C4F287" w:rsidR="005540D9" w:rsidRPr="00F41F91" w:rsidRDefault="00D31E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C1E2D2" w:rsidR="00B44817" w:rsidRPr="00F41F91" w:rsidRDefault="006B122D" w:rsidP="00D057C3">
            <w:pPr>
              <w:jc w:val="center"/>
              <w:rPr>
                <w:sz w:val="18"/>
              </w:rPr>
            </w:pPr>
            <w:r>
              <w:rPr>
                <w:sz w:val="18"/>
              </w:rPr>
              <w:t>10/23/17</w:t>
            </w:r>
          </w:p>
        </w:tc>
        <w:tc>
          <w:tcPr>
            <w:tcW w:w="991" w:type="dxa"/>
            <w:gridSpan w:val="2"/>
            <w:tcBorders>
              <w:top w:val="nil"/>
            </w:tcBorders>
          </w:tcPr>
          <w:p w14:paraId="2EB76238" w14:textId="7B279B8E" w:rsidR="00B44817" w:rsidRPr="00F41F91" w:rsidRDefault="006B122D" w:rsidP="00D057C3">
            <w:pPr>
              <w:jc w:val="center"/>
              <w:rPr>
                <w:sz w:val="18"/>
              </w:rPr>
            </w:pPr>
            <w:r>
              <w:rPr>
                <w:sz w:val="18"/>
              </w:rPr>
              <w:t>1</w:t>
            </w:r>
          </w:p>
        </w:tc>
        <w:tc>
          <w:tcPr>
            <w:tcW w:w="990" w:type="dxa"/>
            <w:gridSpan w:val="2"/>
            <w:tcBorders>
              <w:top w:val="nil"/>
              <w:bottom w:val="nil"/>
            </w:tcBorders>
          </w:tcPr>
          <w:p w14:paraId="4C3FDB54" w14:textId="39878DCC" w:rsidR="00B44817" w:rsidRPr="00F41F91" w:rsidRDefault="006B122D" w:rsidP="00D057C3">
            <w:pPr>
              <w:jc w:val="center"/>
              <w:rPr>
                <w:sz w:val="18"/>
              </w:rPr>
            </w:pPr>
            <w:r>
              <w:rPr>
                <w:sz w:val="18"/>
              </w:rPr>
              <w:t>`ND</w:t>
            </w:r>
          </w:p>
        </w:tc>
        <w:tc>
          <w:tcPr>
            <w:tcW w:w="1080" w:type="dxa"/>
            <w:tcBorders>
              <w:top w:val="nil"/>
              <w:bottom w:val="nil"/>
            </w:tcBorders>
          </w:tcPr>
          <w:p w14:paraId="48CE0F50" w14:textId="2057A4A7" w:rsidR="00B44817" w:rsidRPr="00F41F91" w:rsidRDefault="006B122D" w:rsidP="00D057C3">
            <w:pPr>
              <w:jc w:val="center"/>
              <w:rPr>
                <w:sz w:val="18"/>
              </w:rPr>
            </w:pPr>
            <w:r>
              <w:rPr>
                <w:sz w:val="18"/>
              </w:rPr>
              <w:t>0</w:t>
            </w:r>
          </w:p>
        </w:tc>
        <w:tc>
          <w:tcPr>
            <w:tcW w:w="677" w:type="dxa"/>
            <w:tcBorders>
              <w:top w:val="nil"/>
              <w:bottom w:val="nil"/>
            </w:tcBorders>
          </w:tcPr>
          <w:p w14:paraId="242E5C30" w14:textId="069FCF1C" w:rsidR="00B44817" w:rsidRPr="00F41F91" w:rsidRDefault="006B122D" w:rsidP="00D057C3">
            <w:pPr>
              <w:jc w:val="center"/>
              <w:rPr>
                <w:sz w:val="18"/>
              </w:rPr>
            </w:pPr>
            <w:r>
              <w:rPr>
                <w:sz w:val="18"/>
              </w:rPr>
              <w:t>15</w:t>
            </w:r>
          </w:p>
        </w:tc>
        <w:tc>
          <w:tcPr>
            <w:tcW w:w="677" w:type="dxa"/>
            <w:tcBorders>
              <w:top w:val="nil"/>
              <w:bottom w:val="nil"/>
            </w:tcBorders>
          </w:tcPr>
          <w:p w14:paraId="21935509" w14:textId="109C609D" w:rsidR="00B44817" w:rsidRPr="00F41F91" w:rsidRDefault="006B122D" w:rsidP="00D057C3">
            <w:pPr>
              <w:jc w:val="center"/>
              <w:rPr>
                <w:sz w:val="18"/>
              </w:rPr>
            </w:pPr>
            <w:r>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A331258" w:rsidR="00B44817" w:rsidRPr="00F41F91" w:rsidRDefault="006B122D" w:rsidP="00D057C3">
            <w:pPr>
              <w:jc w:val="center"/>
              <w:rPr>
                <w:sz w:val="18"/>
              </w:rPr>
            </w:pPr>
            <w:r>
              <w:rPr>
                <w:sz w:val="18"/>
              </w:rPr>
              <w:t>10/23/17</w:t>
            </w:r>
          </w:p>
        </w:tc>
        <w:tc>
          <w:tcPr>
            <w:tcW w:w="991" w:type="dxa"/>
            <w:gridSpan w:val="2"/>
            <w:tcBorders>
              <w:bottom w:val="single" w:sz="18" w:space="0" w:color="auto"/>
            </w:tcBorders>
          </w:tcPr>
          <w:p w14:paraId="18011756" w14:textId="7453935B" w:rsidR="00B44817" w:rsidRPr="00F41F91" w:rsidRDefault="006B122D" w:rsidP="00D057C3">
            <w:pPr>
              <w:jc w:val="center"/>
              <w:rPr>
                <w:sz w:val="18"/>
              </w:rPr>
            </w:pPr>
            <w:r>
              <w:rPr>
                <w:sz w:val="18"/>
              </w:rPr>
              <w:t>1</w:t>
            </w:r>
          </w:p>
        </w:tc>
        <w:tc>
          <w:tcPr>
            <w:tcW w:w="990" w:type="dxa"/>
            <w:gridSpan w:val="2"/>
            <w:tcBorders>
              <w:bottom w:val="single" w:sz="18" w:space="0" w:color="auto"/>
            </w:tcBorders>
          </w:tcPr>
          <w:p w14:paraId="4548FEA6" w14:textId="360AFA68" w:rsidR="00B44817" w:rsidRDefault="00540B39" w:rsidP="00D057C3">
            <w:pPr>
              <w:jc w:val="center"/>
              <w:rPr>
                <w:sz w:val="18"/>
              </w:rPr>
            </w:pPr>
            <w:r>
              <w:rPr>
                <w:sz w:val="18"/>
              </w:rPr>
              <w:t>28</w:t>
            </w:r>
            <w:r w:rsidR="006B122D">
              <w:rPr>
                <w:sz w:val="18"/>
              </w:rPr>
              <w:t>0</w:t>
            </w:r>
          </w:p>
          <w:p w14:paraId="7CE90126" w14:textId="5B1BF56D" w:rsidR="006B122D" w:rsidRPr="00F41F91" w:rsidRDefault="006B122D" w:rsidP="00D057C3">
            <w:pPr>
              <w:jc w:val="center"/>
              <w:rPr>
                <w:sz w:val="18"/>
              </w:rPr>
            </w:pPr>
            <w:r>
              <w:rPr>
                <w:sz w:val="18"/>
              </w:rPr>
              <w:t>(ppm)</w:t>
            </w:r>
          </w:p>
        </w:tc>
        <w:tc>
          <w:tcPr>
            <w:tcW w:w="1080" w:type="dxa"/>
            <w:tcBorders>
              <w:bottom w:val="single" w:sz="18" w:space="0" w:color="auto"/>
            </w:tcBorders>
          </w:tcPr>
          <w:p w14:paraId="11DE16E1" w14:textId="5AA3377B" w:rsidR="00B44817" w:rsidRPr="00F41F91" w:rsidRDefault="006B122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1C5DF20F"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2943E34" w:rsidR="00B3023D" w:rsidRPr="00F41F91" w:rsidRDefault="006B122D" w:rsidP="009C6436">
            <w:pPr>
              <w:jc w:val="center"/>
              <w:rPr>
                <w:sz w:val="18"/>
              </w:rPr>
            </w:pPr>
            <w:r>
              <w:rPr>
                <w:sz w:val="18"/>
              </w:rPr>
              <w:t>12/8/15</w:t>
            </w:r>
          </w:p>
        </w:tc>
        <w:tc>
          <w:tcPr>
            <w:tcW w:w="1350" w:type="dxa"/>
            <w:tcBorders>
              <w:top w:val="nil"/>
              <w:bottom w:val="single" w:sz="4" w:space="0" w:color="auto"/>
            </w:tcBorders>
          </w:tcPr>
          <w:p w14:paraId="690B0D1C" w14:textId="3991000D" w:rsidR="00B3023D" w:rsidRPr="00F41F91" w:rsidRDefault="00540B39" w:rsidP="009C6436">
            <w:pPr>
              <w:jc w:val="center"/>
              <w:rPr>
                <w:sz w:val="18"/>
              </w:rPr>
            </w:pPr>
            <w:r>
              <w:rPr>
                <w:sz w:val="18"/>
              </w:rPr>
              <w:t>9.3</w:t>
            </w:r>
            <w:r w:rsidR="006B122D">
              <w:rPr>
                <w:sz w:val="18"/>
              </w:rPr>
              <w:t xml:space="preserve"> mg/l</w:t>
            </w:r>
          </w:p>
        </w:tc>
        <w:tc>
          <w:tcPr>
            <w:tcW w:w="1440" w:type="dxa"/>
            <w:tcBorders>
              <w:top w:val="nil"/>
              <w:bottom w:val="single" w:sz="4" w:space="0" w:color="auto"/>
            </w:tcBorders>
          </w:tcPr>
          <w:p w14:paraId="6802CC34" w14:textId="7B8A20D8" w:rsidR="00B3023D" w:rsidRPr="00F41F91" w:rsidRDefault="006B122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D1AFED1" w:rsidR="00B3023D" w:rsidRPr="00F41F91" w:rsidRDefault="006B122D" w:rsidP="009C6436">
            <w:pPr>
              <w:jc w:val="center"/>
              <w:rPr>
                <w:sz w:val="18"/>
              </w:rPr>
            </w:pPr>
            <w:r>
              <w:rPr>
                <w:sz w:val="18"/>
              </w:rPr>
              <w:t>12/8/15</w:t>
            </w:r>
          </w:p>
        </w:tc>
        <w:tc>
          <w:tcPr>
            <w:tcW w:w="1350" w:type="dxa"/>
            <w:tcBorders>
              <w:bottom w:val="single" w:sz="18" w:space="0" w:color="auto"/>
            </w:tcBorders>
          </w:tcPr>
          <w:p w14:paraId="5F571C45" w14:textId="5F44FD45" w:rsidR="00B3023D" w:rsidRPr="00F41F91" w:rsidRDefault="00540B39" w:rsidP="009C6436">
            <w:pPr>
              <w:jc w:val="center"/>
              <w:rPr>
                <w:sz w:val="18"/>
              </w:rPr>
            </w:pPr>
            <w:r>
              <w:rPr>
                <w:sz w:val="18"/>
              </w:rPr>
              <w:t>116</w:t>
            </w:r>
            <w:r w:rsidR="006B122D">
              <w:rPr>
                <w:sz w:val="18"/>
              </w:rPr>
              <w:t xml:space="preserve"> mg/l</w:t>
            </w:r>
          </w:p>
        </w:tc>
        <w:tc>
          <w:tcPr>
            <w:tcW w:w="1440" w:type="dxa"/>
            <w:tcBorders>
              <w:bottom w:val="single" w:sz="18" w:space="0" w:color="auto"/>
            </w:tcBorders>
          </w:tcPr>
          <w:p w14:paraId="2BE476FB" w14:textId="38EF31A6" w:rsidR="00B3023D" w:rsidRPr="00F41F91" w:rsidRDefault="006B122D"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5876EDA" w:rsidR="00BC6327" w:rsidRPr="00F41F91" w:rsidRDefault="006B122D" w:rsidP="00D057C3">
            <w:pPr>
              <w:ind w:left="180"/>
              <w:rPr>
                <w:sz w:val="18"/>
              </w:rPr>
            </w:pPr>
            <w:bookmarkStart w:id="0" w:name="_GoBack"/>
            <w:bookmarkEnd w:id="0"/>
            <w:r>
              <w:rPr>
                <w:sz w:val="18"/>
              </w:rPr>
              <w:t>Nitrate as N</w:t>
            </w:r>
          </w:p>
        </w:tc>
        <w:tc>
          <w:tcPr>
            <w:tcW w:w="990" w:type="dxa"/>
            <w:tcBorders>
              <w:top w:val="nil"/>
            </w:tcBorders>
          </w:tcPr>
          <w:p w14:paraId="5D776A03" w14:textId="17B47D0F" w:rsidR="00BC6327" w:rsidRPr="00F41F91" w:rsidRDefault="006B122D" w:rsidP="00D057C3">
            <w:pPr>
              <w:jc w:val="center"/>
              <w:rPr>
                <w:sz w:val="18"/>
              </w:rPr>
            </w:pPr>
            <w:r>
              <w:rPr>
                <w:sz w:val="18"/>
              </w:rPr>
              <w:t>1/10/18</w:t>
            </w:r>
          </w:p>
        </w:tc>
        <w:tc>
          <w:tcPr>
            <w:tcW w:w="1350" w:type="dxa"/>
            <w:tcBorders>
              <w:top w:val="nil"/>
            </w:tcBorders>
          </w:tcPr>
          <w:p w14:paraId="492AEBB3" w14:textId="66729FA0" w:rsidR="00BC6327" w:rsidRPr="00F41F91" w:rsidRDefault="00540B39" w:rsidP="00D057C3">
            <w:pPr>
              <w:jc w:val="center"/>
              <w:rPr>
                <w:sz w:val="18"/>
              </w:rPr>
            </w:pPr>
            <w:r>
              <w:rPr>
                <w:sz w:val="18"/>
              </w:rPr>
              <w:t>2.2</w:t>
            </w:r>
            <w:r w:rsidR="006B122D">
              <w:rPr>
                <w:sz w:val="18"/>
              </w:rPr>
              <w:t xml:space="preserve"> mg/l</w:t>
            </w:r>
          </w:p>
        </w:tc>
        <w:tc>
          <w:tcPr>
            <w:tcW w:w="1440" w:type="dxa"/>
            <w:tcBorders>
              <w:top w:val="nil"/>
            </w:tcBorders>
          </w:tcPr>
          <w:p w14:paraId="0EA1207A" w14:textId="515B0B9C" w:rsidR="00BC6327" w:rsidRPr="00F41F91" w:rsidRDefault="00540B39" w:rsidP="00D057C3">
            <w:pPr>
              <w:jc w:val="center"/>
              <w:rPr>
                <w:sz w:val="18"/>
              </w:rPr>
            </w:pPr>
            <w:r>
              <w:rPr>
                <w:sz w:val="18"/>
              </w:rPr>
              <w:t>.80</w:t>
            </w:r>
          </w:p>
        </w:tc>
        <w:tc>
          <w:tcPr>
            <w:tcW w:w="900" w:type="dxa"/>
            <w:tcBorders>
              <w:top w:val="nil"/>
            </w:tcBorders>
          </w:tcPr>
          <w:p w14:paraId="566791C1" w14:textId="51787B73" w:rsidR="00BC6327" w:rsidRPr="00F41F91" w:rsidRDefault="002C0903" w:rsidP="00D057C3">
            <w:pPr>
              <w:jc w:val="center"/>
              <w:rPr>
                <w:sz w:val="18"/>
              </w:rPr>
            </w:pPr>
            <w:r>
              <w:rPr>
                <w:sz w:val="18"/>
              </w:rPr>
              <w:t>None</w:t>
            </w:r>
          </w:p>
        </w:tc>
        <w:tc>
          <w:tcPr>
            <w:tcW w:w="1080" w:type="dxa"/>
            <w:tcBorders>
              <w:top w:val="nil"/>
            </w:tcBorders>
          </w:tcPr>
          <w:p w14:paraId="5E4F841C" w14:textId="14423709" w:rsidR="00BC6327" w:rsidRPr="00F41F91" w:rsidRDefault="002C0903" w:rsidP="00D057C3">
            <w:pPr>
              <w:jc w:val="center"/>
              <w:rPr>
                <w:sz w:val="18"/>
              </w:rPr>
            </w:pPr>
            <w:r>
              <w:rPr>
                <w:sz w:val="18"/>
              </w:rPr>
              <w:t>None</w:t>
            </w:r>
          </w:p>
        </w:tc>
        <w:tc>
          <w:tcPr>
            <w:tcW w:w="2808" w:type="dxa"/>
            <w:tcBorders>
              <w:top w:val="nil"/>
              <w:right w:val="single" w:sz="6" w:space="0" w:color="auto"/>
            </w:tcBorders>
          </w:tcPr>
          <w:p w14:paraId="2B8C0EB3" w14:textId="1C3BA8D5" w:rsidR="00BC6327" w:rsidRPr="00353188" w:rsidRDefault="002C0903" w:rsidP="00D057C3">
            <w:pPr>
              <w:rPr>
                <w:rFonts w:ascii="Footlight MT Light" w:hAnsi="Footlight MT Light"/>
                <w:sz w:val="18"/>
                <w:szCs w:val="18"/>
              </w:rPr>
            </w:pPr>
            <w:r w:rsidRPr="00353188">
              <w:rPr>
                <w:rFonts w:ascii="Footlight MT Light" w:hAnsi="Footlight MT Light"/>
                <w:sz w:val="18"/>
                <w:szCs w:val="18"/>
              </w:rPr>
              <w:t>Nitrate can occur naturally in surface and groundwater at a level that does not generally cause health problems. High levels of nitrate in well water often result from improper well construction, well location, overuse of chemical fertilizers, or improper disposal of human and animal waste.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7C8B5EB" w:rsidR="00BC6327" w:rsidRPr="00F41F91" w:rsidRDefault="002C0903" w:rsidP="00D057C3">
            <w:pPr>
              <w:ind w:left="180"/>
              <w:rPr>
                <w:sz w:val="18"/>
              </w:rPr>
            </w:pPr>
            <w:r>
              <w:rPr>
                <w:sz w:val="18"/>
              </w:rPr>
              <w:t xml:space="preserve">1,2,3, </w:t>
            </w:r>
            <w:proofErr w:type="spellStart"/>
            <w:r>
              <w:rPr>
                <w:sz w:val="18"/>
              </w:rPr>
              <w:t>Trichloropropane</w:t>
            </w:r>
            <w:proofErr w:type="spellEnd"/>
          </w:p>
        </w:tc>
        <w:tc>
          <w:tcPr>
            <w:tcW w:w="990" w:type="dxa"/>
            <w:tcBorders>
              <w:bottom w:val="single" w:sz="18" w:space="0" w:color="auto"/>
            </w:tcBorders>
          </w:tcPr>
          <w:p w14:paraId="3CD1FB67" w14:textId="29F7B73D" w:rsidR="00BC6327" w:rsidRPr="00F41F91" w:rsidRDefault="002C0903" w:rsidP="00D057C3">
            <w:pPr>
              <w:jc w:val="center"/>
              <w:rPr>
                <w:sz w:val="18"/>
              </w:rPr>
            </w:pPr>
            <w:r>
              <w:rPr>
                <w:sz w:val="18"/>
              </w:rPr>
              <w:t>5/31/18</w:t>
            </w:r>
          </w:p>
        </w:tc>
        <w:tc>
          <w:tcPr>
            <w:tcW w:w="1350" w:type="dxa"/>
            <w:tcBorders>
              <w:bottom w:val="single" w:sz="18" w:space="0" w:color="auto"/>
            </w:tcBorders>
          </w:tcPr>
          <w:p w14:paraId="5EA66A78" w14:textId="1F3D61D9" w:rsidR="00BC6327" w:rsidRPr="00F41F91" w:rsidRDefault="002C0903" w:rsidP="00D057C3">
            <w:pPr>
              <w:jc w:val="center"/>
              <w:rPr>
                <w:sz w:val="18"/>
              </w:rPr>
            </w:pPr>
            <w:r>
              <w:rPr>
                <w:sz w:val="18"/>
              </w:rPr>
              <w:t>ND</w:t>
            </w:r>
          </w:p>
        </w:tc>
        <w:tc>
          <w:tcPr>
            <w:tcW w:w="1440" w:type="dxa"/>
            <w:tcBorders>
              <w:bottom w:val="single" w:sz="18" w:space="0" w:color="auto"/>
            </w:tcBorders>
          </w:tcPr>
          <w:p w14:paraId="314F6572" w14:textId="48B517C9" w:rsidR="00BC6327" w:rsidRPr="00F41F91" w:rsidRDefault="002C0903" w:rsidP="00D057C3">
            <w:pPr>
              <w:jc w:val="center"/>
              <w:rPr>
                <w:sz w:val="18"/>
              </w:rPr>
            </w:pPr>
            <w:r>
              <w:rPr>
                <w:sz w:val="18"/>
              </w:rPr>
              <w:t>NA</w:t>
            </w:r>
          </w:p>
        </w:tc>
        <w:tc>
          <w:tcPr>
            <w:tcW w:w="900" w:type="dxa"/>
            <w:tcBorders>
              <w:bottom w:val="single" w:sz="18" w:space="0" w:color="auto"/>
            </w:tcBorders>
          </w:tcPr>
          <w:p w14:paraId="4DF396D0" w14:textId="6B6FBDA8" w:rsidR="00BC6327" w:rsidRPr="00F41F91" w:rsidRDefault="002C0903" w:rsidP="00D057C3">
            <w:pPr>
              <w:jc w:val="center"/>
              <w:rPr>
                <w:sz w:val="18"/>
              </w:rPr>
            </w:pPr>
            <w:r>
              <w:rPr>
                <w:sz w:val="18"/>
              </w:rPr>
              <w:t xml:space="preserve">.005 </w:t>
            </w:r>
            <w:proofErr w:type="spellStart"/>
            <w:r>
              <w:rPr>
                <w:sz w:val="18"/>
              </w:rPr>
              <w:t>ug</w:t>
            </w:r>
            <w:proofErr w:type="spellEnd"/>
            <w:r>
              <w:rPr>
                <w:sz w:val="18"/>
              </w:rPr>
              <w:t>/l</w:t>
            </w:r>
          </w:p>
        </w:tc>
        <w:tc>
          <w:tcPr>
            <w:tcW w:w="1080" w:type="dxa"/>
            <w:tcBorders>
              <w:bottom w:val="single" w:sz="18" w:space="0" w:color="auto"/>
            </w:tcBorders>
          </w:tcPr>
          <w:p w14:paraId="14ED7F95" w14:textId="665E538F" w:rsidR="00BC6327" w:rsidRPr="00F41F91" w:rsidRDefault="002C0903" w:rsidP="00D057C3">
            <w:pPr>
              <w:jc w:val="center"/>
              <w:rPr>
                <w:sz w:val="18"/>
              </w:rPr>
            </w:pPr>
            <w:r>
              <w:rPr>
                <w:sz w:val="18"/>
              </w:rPr>
              <w:t>none</w:t>
            </w:r>
          </w:p>
        </w:tc>
        <w:tc>
          <w:tcPr>
            <w:tcW w:w="2808" w:type="dxa"/>
            <w:tcBorders>
              <w:bottom w:val="single" w:sz="18" w:space="0" w:color="auto"/>
              <w:right w:val="single" w:sz="6" w:space="0" w:color="auto"/>
            </w:tcBorders>
          </w:tcPr>
          <w:p w14:paraId="76443EAF" w14:textId="3ACA6836" w:rsidR="00BC6327" w:rsidRPr="00353188" w:rsidRDefault="002C0903" w:rsidP="00D057C3">
            <w:pPr>
              <w:rPr>
                <w:rFonts w:ascii="Footlight MT Light" w:hAnsi="Footlight MT Light"/>
                <w:sz w:val="18"/>
                <w:szCs w:val="18"/>
              </w:rPr>
            </w:pPr>
            <w:r w:rsidRPr="00353188">
              <w:rPr>
                <w:rFonts w:ascii="Footlight MT Light" w:hAnsi="Footlight MT Light"/>
                <w:sz w:val="18"/>
                <w:szCs w:val="18"/>
              </w:rPr>
              <w:t>1,2,3- TCP is a chlorinated hydrocarbon with high chemical stability. It is a manmade chemical found at industrial or hazardous waste sites. It has been used as a cleaning and degreasing solvent and also is associated with pesticide products.</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274B6D6D" w:rsidR="00BC6327" w:rsidRPr="00353188" w:rsidRDefault="00353188" w:rsidP="00F01B42">
            <w:pPr>
              <w:spacing w:before="40" w:after="40" w:line="240" w:lineRule="exact"/>
              <w:jc w:val="center"/>
              <w:rPr>
                <w:sz w:val="18"/>
              </w:rPr>
            </w:pPr>
            <w:r w:rsidRPr="00353188">
              <w:rPr>
                <w:sz w:val="18"/>
              </w:rPr>
              <w:t xml:space="preserve">1,2,3, </w:t>
            </w:r>
            <w:proofErr w:type="spellStart"/>
            <w:r w:rsidRPr="00353188">
              <w:rPr>
                <w:sz w:val="18"/>
              </w:rPr>
              <w:t>Trichloropropane</w:t>
            </w:r>
            <w:proofErr w:type="spellEnd"/>
          </w:p>
        </w:tc>
        <w:tc>
          <w:tcPr>
            <w:tcW w:w="990" w:type="dxa"/>
            <w:tcBorders>
              <w:top w:val="single" w:sz="18" w:space="0" w:color="auto"/>
              <w:bottom w:val="double" w:sz="6" w:space="0" w:color="auto"/>
            </w:tcBorders>
            <w:vAlign w:val="center"/>
          </w:tcPr>
          <w:p w14:paraId="0BC1E5D6" w14:textId="63C77310" w:rsidR="00BC6327" w:rsidRPr="00353188" w:rsidRDefault="00353188" w:rsidP="00F01B42">
            <w:pPr>
              <w:spacing w:before="40" w:after="40"/>
              <w:jc w:val="center"/>
              <w:rPr>
                <w:sz w:val="18"/>
              </w:rPr>
            </w:pPr>
            <w:r w:rsidRPr="00353188">
              <w:rPr>
                <w:sz w:val="18"/>
              </w:rPr>
              <w:t>7/10/18</w:t>
            </w:r>
          </w:p>
        </w:tc>
        <w:tc>
          <w:tcPr>
            <w:tcW w:w="1350" w:type="dxa"/>
            <w:tcBorders>
              <w:top w:val="single" w:sz="18" w:space="0" w:color="auto"/>
              <w:bottom w:val="double" w:sz="6" w:space="0" w:color="auto"/>
            </w:tcBorders>
            <w:vAlign w:val="center"/>
          </w:tcPr>
          <w:p w14:paraId="289AF984" w14:textId="75960DFE" w:rsidR="00BC6327" w:rsidRPr="00353188" w:rsidRDefault="00353188" w:rsidP="00F01B42">
            <w:pPr>
              <w:spacing w:before="40" w:after="40"/>
              <w:jc w:val="center"/>
              <w:rPr>
                <w:sz w:val="18"/>
              </w:rPr>
            </w:pPr>
            <w:r w:rsidRPr="00353188">
              <w:rPr>
                <w:sz w:val="18"/>
              </w:rPr>
              <w:t>ND</w:t>
            </w:r>
          </w:p>
        </w:tc>
        <w:tc>
          <w:tcPr>
            <w:tcW w:w="1440" w:type="dxa"/>
            <w:tcBorders>
              <w:top w:val="single" w:sz="18" w:space="0" w:color="auto"/>
              <w:bottom w:val="double" w:sz="6" w:space="0" w:color="auto"/>
            </w:tcBorders>
            <w:vAlign w:val="center"/>
          </w:tcPr>
          <w:p w14:paraId="5C630E53" w14:textId="18A3B9AB" w:rsidR="00BC6327" w:rsidRPr="00353188" w:rsidRDefault="00353188" w:rsidP="00F01B42">
            <w:pPr>
              <w:spacing w:before="40" w:after="40"/>
              <w:jc w:val="center"/>
              <w:rPr>
                <w:sz w:val="18"/>
              </w:rPr>
            </w:pPr>
            <w:r w:rsidRPr="00353188">
              <w:rPr>
                <w:sz w:val="18"/>
              </w:rPr>
              <w:t>NA</w:t>
            </w:r>
          </w:p>
        </w:tc>
        <w:tc>
          <w:tcPr>
            <w:tcW w:w="900" w:type="dxa"/>
            <w:tcBorders>
              <w:top w:val="single" w:sz="18" w:space="0" w:color="auto"/>
              <w:bottom w:val="double" w:sz="6" w:space="0" w:color="auto"/>
            </w:tcBorders>
            <w:vAlign w:val="center"/>
          </w:tcPr>
          <w:p w14:paraId="5F296A08" w14:textId="5C169A47" w:rsidR="00BC6327" w:rsidRPr="00353188" w:rsidRDefault="00353188" w:rsidP="00F01B42">
            <w:pPr>
              <w:spacing w:before="40" w:after="40"/>
              <w:jc w:val="center"/>
              <w:rPr>
                <w:sz w:val="18"/>
              </w:rPr>
            </w:pPr>
            <w:r w:rsidRPr="00353188">
              <w:rPr>
                <w:sz w:val="18"/>
              </w:rPr>
              <w:t xml:space="preserve">.005 </w:t>
            </w:r>
            <w:proofErr w:type="spellStart"/>
            <w:r w:rsidRPr="00353188">
              <w:rPr>
                <w:sz w:val="18"/>
              </w:rPr>
              <w:t>ug</w:t>
            </w:r>
            <w:proofErr w:type="spellEnd"/>
            <w:r w:rsidRPr="00353188">
              <w:rPr>
                <w:sz w:val="18"/>
              </w:rPr>
              <w:t>/l</w:t>
            </w:r>
          </w:p>
        </w:tc>
        <w:tc>
          <w:tcPr>
            <w:tcW w:w="1080" w:type="dxa"/>
            <w:tcBorders>
              <w:top w:val="single" w:sz="18" w:space="0" w:color="auto"/>
              <w:bottom w:val="double" w:sz="6" w:space="0" w:color="auto"/>
            </w:tcBorders>
            <w:vAlign w:val="center"/>
          </w:tcPr>
          <w:p w14:paraId="52D5939D" w14:textId="6A2988BB" w:rsidR="00BC6327" w:rsidRPr="00353188" w:rsidRDefault="00353188" w:rsidP="00F01B42">
            <w:pPr>
              <w:spacing w:before="40" w:after="40"/>
              <w:jc w:val="center"/>
              <w:rPr>
                <w:sz w:val="18"/>
              </w:rPr>
            </w:pPr>
            <w:r w:rsidRPr="00353188">
              <w:rPr>
                <w:sz w:val="18"/>
              </w:rPr>
              <w:t>none</w:t>
            </w:r>
          </w:p>
        </w:tc>
        <w:tc>
          <w:tcPr>
            <w:tcW w:w="2808" w:type="dxa"/>
            <w:tcBorders>
              <w:top w:val="single" w:sz="18" w:space="0" w:color="auto"/>
              <w:bottom w:val="double" w:sz="6" w:space="0" w:color="auto"/>
              <w:right w:val="single" w:sz="6" w:space="0" w:color="auto"/>
            </w:tcBorders>
            <w:vAlign w:val="center"/>
          </w:tcPr>
          <w:p w14:paraId="668CDEA6" w14:textId="45DDA9CA" w:rsidR="00BC6327" w:rsidRPr="00353188" w:rsidRDefault="00353188" w:rsidP="00F01B42">
            <w:pPr>
              <w:pStyle w:val="Heading7"/>
              <w:spacing w:before="40" w:after="40" w:line="240" w:lineRule="auto"/>
              <w:rPr>
                <w:rFonts w:ascii="Times New Roman" w:hAnsi="Times New Roman"/>
                <w:b w:val="0"/>
                <w:bCs w:val="0"/>
              </w:rPr>
            </w:pPr>
            <w:r w:rsidRPr="00353188">
              <w:rPr>
                <w:rFonts w:ascii="Times New Roman" w:hAnsi="Times New Roman"/>
                <w:b w:val="0"/>
                <w:bCs w:val="0"/>
              </w:rPr>
              <w:t>Same as above</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10AF51E" w:rsidR="00BC6327" w:rsidRPr="00F41F91" w:rsidRDefault="00353188" w:rsidP="00D057C3">
            <w:pPr>
              <w:ind w:left="187"/>
              <w:rPr>
                <w:sz w:val="18"/>
              </w:rPr>
            </w:pPr>
            <w:r w:rsidRPr="00353188">
              <w:rPr>
                <w:sz w:val="18"/>
              </w:rPr>
              <w:t xml:space="preserve">1,2,3, </w:t>
            </w:r>
            <w:proofErr w:type="spellStart"/>
            <w:r w:rsidRPr="00353188">
              <w:rPr>
                <w:sz w:val="18"/>
              </w:rPr>
              <w:t>Trichloropropane</w:t>
            </w:r>
            <w:proofErr w:type="spellEnd"/>
          </w:p>
        </w:tc>
        <w:tc>
          <w:tcPr>
            <w:tcW w:w="990" w:type="dxa"/>
          </w:tcPr>
          <w:p w14:paraId="7B53609D" w14:textId="1151922A" w:rsidR="00BC6327" w:rsidRPr="00F41F91" w:rsidRDefault="003419FC" w:rsidP="00D057C3">
            <w:pPr>
              <w:jc w:val="center"/>
              <w:rPr>
                <w:sz w:val="18"/>
              </w:rPr>
            </w:pPr>
            <w:r>
              <w:rPr>
                <w:sz w:val="18"/>
              </w:rPr>
              <w:t>10/09/2018</w:t>
            </w:r>
          </w:p>
        </w:tc>
        <w:tc>
          <w:tcPr>
            <w:tcW w:w="1350" w:type="dxa"/>
          </w:tcPr>
          <w:p w14:paraId="48AE5CBF" w14:textId="0C6A5279" w:rsidR="00BC6327" w:rsidRPr="00F41F91" w:rsidRDefault="00353188" w:rsidP="00D057C3">
            <w:pPr>
              <w:jc w:val="center"/>
              <w:rPr>
                <w:sz w:val="18"/>
              </w:rPr>
            </w:pPr>
            <w:r>
              <w:rPr>
                <w:sz w:val="18"/>
              </w:rPr>
              <w:t>ND</w:t>
            </w:r>
          </w:p>
        </w:tc>
        <w:tc>
          <w:tcPr>
            <w:tcW w:w="1440" w:type="dxa"/>
          </w:tcPr>
          <w:p w14:paraId="6428F303" w14:textId="65EAA5E0" w:rsidR="00BC6327" w:rsidRPr="00F41F91" w:rsidRDefault="00353188" w:rsidP="00D057C3">
            <w:pPr>
              <w:jc w:val="center"/>
              <w:rPr>
                <w:sz w:val="18"/>
              </w:rPr>
            </w:pPr>
            <w:r>
              <w:rPr>
                <w:sz w:val="18"/>
              </w:rPr>
              <w:t>NA</w:t>
            </w:r>
          </w:p>
        </w:tc>
        <w:tc>
          <w:tcPr>
            <w:tcW w:w="900" w:type="dxa"/>
          </w:tcPr>
          <w:p w14:paraId="11FF9BF3" w14:textId="75EA6BDF" w:rsidR="00BC6327" w:rsidRPr="00F41F91" w:rsidRDefault="00353188" w:rsidP="00D057C3">
            <w:pPr>
              <w:jc w:val="center"/>
              <w:rPr>
                <w:sz w:val="18"/>
              </w:rPr>
            </w:pPr>
            <w:r>
              <w:rPr>
                <w:sz w:val="18"/>
              </w:rPr>
              <w:t xml:space="preserve">.005 </w:t>
            </w:r>
            <w:proofErr w:type="spellStart"/>
            <w:r>
              <w:rPr>
                <w:sz w:val="18"/>
              </w:rPr>
              <w:t>ug</w:t>
            </w:r>
            <w:proofErr w:type="spellEnd"/>
            <w:r>
              <w:rPr>
                <w:sz w:val="18"/>
              </w:rPr>
              <w:t>/l</w:t>
            </w:r>
          </w:p>
        </w:tc>
        <w:tc>
          <w:tcPr>
            <w:tcW w:w="1080" w:type="dxa"/>
          </w:tcPr>
          <w:p w14:paraId="160E754C" w14:textId="3D3940A0" w:rsidR="00BC6327" w:rsidRPr="00F41F91" w:rsidRDefault="00353188" w:rsidP="00D057C3">
            <w:pPr>
              <w:jc w:val="center"/>
              <w:rPr>
                <w:sz w:val="18"/>
              </w:rPr>
            </w:pPr>
            <w:r>
              <w:rPr>
                <w:sz w:val="18"/>
              </w:rPr>
              <w:t>none</w:t>
            </w:r>
          </w:p>
        </w:tc>
        <w:tc>
          <w:tcPr>
            <w:tcW w:w="2808" w:type="dxa"/>
            <w:tcBorders>
              <w:right w:val="single" w:sz="6" w:space="0" w:color="auto"/>
            </w:tcBorders>
          </w:tcPr>
          <w:p w14:paraId="43B6AB0B" w14:textId="6636A792" w:rsidR="00BC6327" w:rsidRPr="00F41F91" w:rsidRDefault="00353188" w:rsidP="00353188">
            <w:pPr>
              <w:jc w:val="center"/>
              <w:rPr>
                <w:sz w:val="18"/>
              </w:rPr>
            </w:pPr>
            <w:r>
              <w:rPr>
                <w:sz w:val="18"/>
              </w:rPr>
              <w:t>Same as above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1945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540B39">
        <w:rPr>
          <w:rFonts w:ascii="Times New Roman" w:hAnsi="Times New Roman"/>
          <w:u w:val="single"/>
        </w:rPr>
        <w:t>Toyon</w:t>
      </w:r>
      <w:proofErr w:type="spellEnd"/>
      <w:r w:rsidR="00540B39">
        <w:rPr>
          <w:rFonts w:ascii="Times New Roman" w:hAnsi="Times New Roman"/>
          <w:u w:val="single"/>
        </w:rPr>
        <w:t xml:space="preserve"> Middle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w:t>
      </w:r>
      <w:proofErr w:type="spellStart"/>
      <w:r w:rsidR="009746A3" w:rsidRPr="00F41F91">
        <w:rPr>
          <w:rFonts w:ascii="Times New Roman" w:hAnsi="Times New Roman"/>
          <w:b/>
          <w:sz w:val="26"/>
        </w:rPr>
        <w:t>M</w:t>
      </w:r>
      <w:r w:rsidRPr="00F41F91">
        <w:rPr>
          <w:rFonts w:ascii="Times New Roman" w:hAnsi="Times New Roman"/>
          <w:b/>
          <w:sz w:val="26"/>
        </w:rPr>
        <w:t>RDL</w:t>
      </w:r>
      <w:proofErr w:type="spellEnd"/>
      <w:r w:rsidRPr="00F41F91">
        <w:rPr>
          <w:rFonts w:ascii="Times New Roman" w:hAnsi="Times New Roman"/>
          <w:b/>
          <w:sz w:val="26"/>
        </w:rPr>
        <w:t>,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proofErr w:type="spellStart"/>
            <w:smartTag w:uri="urn:schemas-microsoft-com:office:smarttags" w:element="place">
              <w:smartTag w:uri="urn:schemas-microsoft-com:office:smarttags" w:element="City">
                <w:r w:rsidR="00CE2D72" w:rsidRPr="00F41F91">
                  <w:rPr>
                    <w:rFonts w:ascii="Times New Roman" w:hAnsi="Times New Roman"/>
                    <w:b/>
                    <w:sz w:val="20"/>
                  </w:rPr>
                  <w:t>MRDL</w:t>
                </w:r>
              </w:smartTag>
              <w:proofErr w:type="spellEnd"/>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9B9835A" w:rsidR="00803861" w:rsidRPr="00F41F91" w:rsidRDefault="00353188" w:rsidP="00AC41BE">
            <w:pPr>
              <w:pStyle w:val="BodyText"/>
              <w:spacing w:before="0"/>
              <w:jc w:val="left"/>
              <w:rPr>
                <w:rFonts w:ascii="Times New Roman" w:hAnsi="Times New Roman"/>
                <w:b/>
                <w:sz w:val="26"/>
              </w:rPr>
            </w:pPr>
            <w:r w:rsidRPr="00353188">
              <w:rPr>
                <w:sz w:val="18"/>
              </w:rPr>
              <w:t xml:space="preserve">1,2,3, </w:t>
            </w:r>
            <w:proofErr w:type="spellStart"/>
            <w:r w:rsidRPr="00353188">
              <w:rPr>
                <w:sz w:val="18"/>
              </w:rPr>
              <w:t>Trichloropropane</w:t>
            </w:r>
            <w:proofErr w:type="spellEnd"/>
          </w:p>
        </w:tc>
        <w:tc>
          <w:tcPr>
            <w:tcW w:w="2203" w:type="dxa"/>
            <w:tcBorders>
              <w:top w:val="double" w:sz="6" w:space="0" w:color="auto"/>
              <w:bottom w:val="single" w:sz="4" w:space="0" w:color="auto"/>
            </w:tcBorders>
            <w:shd w:val="clear" w:color="auto" w:fill="auto"/>
          </w:tcPr>
          <w:p w14:paraId="0C6FD2A3" w14:textId="7D35D17B" w:rsidR="00803861" w:rsidRPr="00353188" w:rsidRDefault="00353188" w:rsidP="00AC41BE">
            <w:pPr>
              <w:pStyle w:val="BodyText"/>
              <w:spacing w:before="0"/>
              <w:jc w:val="left"/>
              <w:rPr>
                <w:sz w:val="18"/>
                <w:szCs w:val="18"/>
              </w:rPr>
            </w:pPr>
            <w:r w:rsidRPr="00353188">
              <w:rPr>
                <w:sz w:val="18"/>
                <w:szCs w:val="18"/>
              </w:rPr>
              <w:t xml:space="preserve">Operator </w:t>
            </w:r>
            <w:r>
              <w:rPr>
                <w:sz w:val="18"/>
                <w:szCs w:val="18"/>
              </w:rPr>
              <w:t>did not sample 1st quarter of year</w:t>
            </w:r>
          </w:p>
        </w:tc>
        <w:tc>
          <w:tcPr>
            <w:tcW w:w="2203" w:type="dxa"/>
            <w:tcBorders>
              <w:top w:val="double" w:sz="6" w:space="0" w:color="auto"/>
              <w:bottom w:val="single" w:sz="4" w:space="0" w:color="auto"/>
            </w:tcBorders>
            <w:shd w:val="clear" w:color="auto" w:fill="auto"/>
          </w:tcPr>
          <w:p w14:paraId="38F06260" w14:textId="14B25463" w:rsidR="00803861" w:rsidRPr="00353188" w:rsidRDefault="00353188" w:rsidP="00AC41BE">
            <w:pPr>
              <w:pStyle w:val="BodyText"/>
              <w:spacing w:before="0"/>
              <w:jc w:val="left"/>
              <w:rPr>
                <w:sz w:val="18"/>
                <w:szCs w:val="18"/>
              </w:rPr>
            </w:pPr>
            <w:r w:rsidRPr="00353188">
              <w:rPr>
                <w:sz w:val="18"/>
                <w:szCs w:val="18"/>
              </w:rPr>
              <w:t>January thru March</w:t>
            </w:r>
          </w:p>
        </w:tc>
        <w:tc>
          <w:tcPr>
            <w:tcW w:w="2203" w:type="dxa"/>
            <w:tcBorders>
              <w:top w:val="double" w:sz="6" w:space="0" w:color="auto"/>
              <w:bottom w:val="single" w:sz="4" w:space="0" w:color="auto"/>
            </w:tcBorders>
            <w:shd w:val="clear" w:color="auto" w:fill="auto"/>
          </w:tcPr>
          <w:p w14:paraId="78FAC853" w14:textId="77CE818B" w:rsidR="00803861" w:rsidRPr="00353188" w:rsidRDefault="00353188" w:rsidP="00AC41BE">
            <w:pPr>
              <w:pStyle w:val="BodyText"/>
              <w:spacing w:before="0"/>
              <w:jc w:val="left"/>
              <w:rPr>
                <w:sz w:val="18"/>
                <w:szCs w:val="18"/>
              </w:rPr>
            </w:pPr>
            <w:r w:rsidRPr="00353188">
              <w:rPr>
                <w:sz w:val="18"/>
                <w:szCs w:val="18"/>
              </w:rPr>
              <w:t>Follow thru with remaining quarter samples</w:t>
            </w:r>
          </w:p>
        </w:tc>
        <w:tc>
          <w:tcPr>
            <w:tcW w:w="2096" w:type="dxa"/>
            <w:tcBorders>
              <w:top w:val="double" w:sz="6" w:space="0" w:color="auto"/>
              <w:bottom w:val="single" w:sz="4" w:space="0" w:color="auto"/>
            </w:tcBorders>
            <w:shd w:val="clear" w:color="auto" w:fill="auto"/>
          </w:tcPr>
          <w:p w14:paraId="47E414FC" w14:textId="2004A4AF" w:rsidR="00803861" w:rsidRPr="00353188" w:rsidRDefault="00353188" w:rsidP="00AC41BE">
            <w:pPr>
              <w:pStyle w:val="BodyText"/>
              <w:spacing w:before="0"/>
              <w:jc w:val="left"/>
              <w:rPr>
                <w:b/>
                <w:sz w:val="18"/>
                <w:szCs w:val="18"/>
              </w:rPr>
            </w:pPr>
            <w:r w:rsidRPr="00353188">
              <w:rPr>
                <w:sz w:val="18"/>
                <w:szCs w:val="18"/>
              </w:rPr>
              <w:t>1,2,3-TCP causes cancer in laboratory animals (US EPA, 2009). It is reasonably anticipated to be a human carcinogen (</w:t>
            </w:r>
            <w:proofErr w:type="spellStart"/>
            <w:r w:rsidRPr="00353188">
              <w:rPr>
                <w:sz w:val="18"/>
                <w:szCs w:val="18"/>
              </w:rPr>
              <w:t>NTP</w:t>
            </w:r>
            <w:proofErr w:type="spellEnd"/>
            <w:r w:rsidRPr="00353188">
              <w:rPr>
                <w:sz w:val="18"/>
                <w:szCs w:val="18"/>
              </w:rPr>
              <w:t>, 2014), and probably carcinogenic to humans, based on sufficient evidence of carcinogenicity in experimental animals (</w:t>
            </w:r>
            <w:proofErr w:type="spellStart"/>
            <w:r w:rsidRPr="00353188">
              <w:rPr>
                <w:sz w:val="18"/>
                <w:szCs w:val="18"/>
              </w:rPr>
              <w:t>IARC</w:t>
            </w:r>
            <w:proofErr w:type="spellEnd"/>
            <w:r w:rsidRPr="00353188">
              <w:rPr>
                <w:sz w:val="18"/>
                <w:szCs w:val="18"/>
              </w:rPr>
              <w:t>, 1995). In 1992, 1,2,3-TCP was added to the list of chemicals known to the state to cause cancer, pursuant to California's Safe Drinking Water and Toxic Enforcement Act (</w:t>
            </w:r>
            <w:hyperlink r:id="rId11" w:history="1">
              <w:r w:rsidRPr="00353188">
                <w:rPr>
                  <w:color w:val="0000FF"/>
                  <w:sz w:val="18"/>
                  <w:szCs w:val="18"/>
                  <w:u w:val="single"/>
                </w:rPr>
                <w:t>Proposition 65</w:t>
              </w:r>
            </w:hyperlink>
            <w:r w:rsidRPr="00353188">
              <w:rPr>
                <w:sz w:val="18"/>
                <w:szCs w:val="18"/>
              </w:rPr>
              <w:t>).</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4762"/>
        <w:gridCol w:w="6008"/>
        <w:gridCol w:w="22"/>
      </w:tblGrid>
      <w:tr w:rsidR="008E4C3F" w:rsidRPr="00F41F91" w14:paraId="43089CD6" w14:textId="77777777" w:rsidTr="00353188">
        <w:trPr>
          <w:cantSplit/>
        </w:trPr>
        <w:tc>
          <w:tcPr>
            <w:tcW w:w="10800" w:type="dxa"/>
            <w:gridSpan w:val="4"/>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353188">
        <w:trPr>
          <w:cantSplit/>
        </w:trPr>
        <w:tc>
          <w:tcPr>
            <w:tcW w:w="10800" w:type="dxa"/>
            <w:gridSpan w:val="4"/>
          </w:tcPr>
          <w:p w14:paraId="3C75903D" w14:textId="77777777" w:rsidR="008E4C3F" w:rsidRPr="00F41F91" w:rsidRDefault="008E4C3F" w:rsidP="00A0355F">
            <w:pPr>
              <w:pStyle w:val="BodyText"/>
              <w:spacing w:before="0"/>
              <w:jc w:val="left"/>
              <w:rPr>
                <w:rFonts w:ascii="Times New Roman" w:hAnsi="Times New Roman"/>
              </w:rPr>
            </w:pPr>
          </w:p>
        </w:tc>
      </w:tr>
      <w:tr w:rsidR="00BC6327" w:rsidRPr="00F41F91" w14:paraId="0D8AEAA4" w14:textId="77777777" w:rsidTr="00435A3F">
        <w:tblPrEx>
          <w:jc w:val="center"/>
          <w:tblBorders>
            <w:top w:val="single" w:sz="4" w:space="0" w:color="auto"/>
            <w:left w:val="single" w:sz="4" w:space="0" w:color="auto"/>
            <w:right w:val="single" w:sz="4" w:space="0" w:color="auto"/>
          </w:tblBorders>
          <w:tblCellMar>
            <w:left w:w="72" w:type="dxa"/>
            <w:right w:w="72" w:type="dxa"/>
          </w:tblCellMar>
        </w:tblPrEx>
        <w:trPr>
          <w:gridBefore w:val="1"/>
          <w:gridAfter w:val="1"/>
          <w:wBefore w:w="8" w:type="dxa"/>
          <w:wAfter w:w="22" w:type="dxa"/>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w:t>
      </w:r>
      <w:proofErr w:type="spellStart"/>
      <w:r w:rsidRPr="00F41F91">
        <w:rPr>
          <w:rFonts w:ascii="Times New Roman" w:hAnsi="Times New Roman"/>
          <w:b w:val="0"/>
        </w:rPr>
        <w:t>NTU</w:t>
      </w:r>
      <w:proofErr w:type="spellEnd"/>
      <w:r w:rsidRPr="00F41F91">
        <w:rPr>
          <w:rFonts w:ascii="Times New Roman" w:hAnsi="Times New Roman"/>
          <w:b w:val="0"/>
        </w:rPr>
        <w:t>) is a measurement of the cloudiness of water and is a good indicator of water quality and filtration performance.  Turbidity results which meet performance standards are considered to be in compliance with filtration requirements.</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01B58C6" w:rsidR="00DD7D18" w:rsidRPr="003C7E02" w:rsidRDefault="00DD7D18" w:rsidP="00415B66">
      <w:pPr>
        <w:spacing w:before="120" w:after="120"/>
        <w:jc w:val="both"/>
        <w:rPr>
          <w:sz w:val="22"/>
          <w:szCs w:val="24"/>
        </w:rPr>
      </w:pPr>
      <w:r w:rsidRPr="003C7E02">
        <w:rPr>
          <w:sz w:val="22"/>
          <w:szCs w:val="24"/>
        </w:rPr>
        <w:t>During the past year we were required to conduct [</w:t>
      </w:r>
      <w:r w:rsidR="00353188">
        <w:rPr>
          <w:sz w:val="22"/>
          <w:szCs w:val="24"/>
        </w:rPr>
        <w:t>0</w:t>
      </w:r>
      <w:r w:rsidRPr="003C7E02">
        <w:rPr>
          <w:sz w:val="22"/>
          <w:szCs w:val="24"/>
        </w:rPr>
        <w:t>] Level</w:t>
      </w:r>
      <w:r w:rsidR="007D21BB">
        <w:rPr>
          <w:sz w:val="22"/>
          <w:szCs w:val="24"/>
        </w:rPr>
        <w:t> </w:t>
      </w:r>
      <w:r w:rsidRPr="003C7E02">
        <w:rPr>
          <w:sz w:val="22"/>
          <w:szCs w:val="24"/>
        </w:rPr>
        <w:t>1 assessment(s).  [</w:t>
      </w:r>
      <w:r w:rsidR="00353188">
        <w:rPr>
          <w:sz w:val="22"/>
          <w:szCs w:val="24"/>
        </w:rPr>
        <w:t>0</w:t>
      </w:r>
      <w:r w:rsidRPr="003C7E02">
        <w:rPr>
          <w:sz w:val="22"/>
          <w:szCs w:val="24"/>
        </w:rPr>
        <w:t>] Level 1 assessment(s) were completed.  In addition, we were required to take [</w:t>
      </w:r>
      <w:r w:rsidR="00353188">
        <w:rPr>
          <w:sz w:val="22"/>
          <w:szCs w:val="24"/>
        </w:rPr>
        <w:t>0</w:t>
      </w:r>
      <w:r w:rsidRPr="003C7E02">
        <w:rPr>
          <w:sz w:val="22"/>
          <w:szCs w:val="24"/>
        </w:rPr>
        <w:t>] corrective actions and we completed [</w:t>
      </w:r>
      <w:r w:rsidR="00353188">
        <w:rPr>
          <w:sz w:val="22"/>
          <w:szCs w:val="24"/>
        </w:rPr>
        <w:t>0</w:t>
      </w:r>
      <w:r w:rsidRPr="003C7E02">
        <w:rPr>
          <w:sz w:val="22"/>
          <w:szCs w:val="24"/>
        </w:rPr>
        <w:t>] of these actions.</w:t>
      </w:r>
    </w:p>
    <w:p w14:paraId="69E753CA" w14:textId="12E31E89" w:rsidR="00DD7D18" w:rsidRPr="003C7E02" w:rsidRDefault="00DD7D18" w:rsidP="00415B66">
      <w:pPr>
        <w:spacing w:before="120" w:after="120"/>
        <w:jc w:val="both"/>
        <w:rPr>
          <w:sz w:val="22"/>
          <w:szCs w:val="24"/>
        </w:rPr>
      </w:pPr>
      <w:r w:rsidRPr="003C7E02">
        <w:rPr>
          <w:sz w:val="22"/>
          <w:szCs w:val="24"/>
        </w:rPr>
        <w:t>During the past year [</w:t>
      </w:r>
      <w:r w:rsidR="00353188">
        <w:rPr>
          <w:sz w:val="22"/>
          <w:szCs w:val="24"/>
        </w:rPr>
        <w:t>0</w:t>
      </w:r>
      <w:r w:rsidRPr="003C7E02">
        <w:rPr>
          <w:sz w:val="22"/>
          <w:szCs w:val="24"/>
        </w:rPr>
        <w:t>] Level 2 assessments were required to be completed for our water system.  [</w:t>
      </w:r>
      <w:r w:rsidR="00353188">
        <w:rPr>
          <w:sz w:val="22"/>
          <w:szCs w:val="24"/>
        </w:rPr>
        <w:t>0</w:t>
      </w:r>
      <w:r w:rsidRPr="003C7E02">
        <w:rPr>
          <w:sz w:val="22"/>
          <w:szCs w:val="24"/>
        </w:rPr>
        <w:t>] Level 2 assessments were completed.  In addition, we were required to take [</w:t>
      </w:r>
      <w:r w:rsidR="00353188">
        <w:rPr>
          <w:sz w:val="22"/>
          <w:szCs w:val="24"/>
        </w:rPr>
        <w:t>0</w:t>
      </w:r>
      <w:r w:rsidRPr="003C7E02">
        <w:rPr>
          <w:sz w:val="22"/>
          <w:szCs w:val="24"/>
        </w:rPr>
        <w:t>] corrective actions and we completed [</w:t>
      </w:r>
      <w:r w:rsidR="00353188">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6EA4B25"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B1AD6">
        <w:rPr>
          <w:sz w:val="22"/>
          <w:szCs w:val="22"/>
        </w:rPr>
        <w:t>0</w:t>
      </w:r>
      <w:r w:rsidRPr="00415B66">
        <w:rPr>
          <w:sz w:val="22"/>
          <w:szCs w:val="22"/>
        </w:rPr>
        <w:t>] corrective actions and we completed [</w:t>
      </w:r>
      <w:r w:rsidR="001B1AD6">
        <w:rPr>
          <w:sz w:val="22"/>
          <w:szCs w:val="22"/>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419F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419FC">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5CCF"/>
    <w:rsid w:val="001A05BF"/>
    <w:rsid w:val="001A2BEE"/>
    <w:rsid w:val="001A47B7"/>
    <w:rsid w:val="001A65A0"/>
    <w:rsid w:val="001B095A"/>
    <w:rsid w:val="001B10EB"/>
    <w:rsid w:val="001B1AD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7A1F"/>
    <w:rsid w:val="002856B8"/>
    <w:rsid w:val="00294205"/>
    <w:rsid w:val="002A20BB"/>
    <w:rsid w:val="002A3636"/>
    <w:rsid w:val="002A5C9F"/>
    <w:rsid w:val="002A746D"/>
    <w:rsid w:val="002B0B02"/>
    <w:rsid w:val="002B3B52"/>
    <w:rsid w:val="002C090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19FC"/>
    <w:rsid w:val="00342536"/>
    <w:rsid w:val="0034785D"/>
    <w:rsid w:val="00353188"/>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0B39"/>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122D"/>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1EDD"/>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hha.ca.gov/proposition-65"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2179</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Joseph Cruz</cp:lastModifiedBy>
  <cp:revision>3</cp:revision>
  <cp:lastPrinted>2018-12-11T18:58:00Z</cp:lastPrinted>
  <dcterms:created xsi:type="dcterms:W3CDTF">2019-06-22T21:04:00Z</dcterms:created>
  <dcterms:modified xsi:type="dcterms:W3CDTF">2019-06-24T15:10:00Z</dcterms:modified>
</cp:coreProperties>
</file>