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1B711056" w:rsidR="005879C4" w:rsidRPr="005C02F2" w:rsidRDefault="002237D3" w:rsidP="005D5750">
            <w:pPr>
              <w:spacing w:before="40" w:after="40"/>
              <w:jc w:val="both"/>
              <w:rPr>
                <w:sz w:val="22"/>
              </w:rPr>
            </w:pPr>
            <w:r>
              <w:rPr>
                <w:sz w:val="22"/>
              </w:rPr>
              <w:t>City of Livermore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0A6EFB5B" w:rsidR="005879C4" w:rsidRPr="005C02F2" w:rsidRDefault="002237D3" w:rsidP="005D5750">
            <w:pPr>
              <w:spacing w:before="40" w:after="40"/>
              <w:jc w:val="both"/>
              <w:rPr>
                <w:sz w:val="22"/>
              </w:rPr>
            </w:pPr>
            <w:r>
              <w:rPr>
                <w:sz w:val="22"/>
              </w:rPr>
              <w:t>CA0110011</w:t>
            </w:r>
          </w:p>
        </w:tc>
      </w:tr>
    </w:tbl>
    <w:p w14:paraId="3C51C8E2" w14:textId="2F89CBF1" w:rsidR="005879C4" w:rsidRPr="005C02F2" w:rsidRDefault="005879C4" w:rsidP="005D5750">
      <w:pPr>
        <w:pStyle w:val="BodyText"/>
        <w:spacing w:before="120" w:after="120"/>
      </w:pPr>
      <w:r w:rsidRPr="005C02F2">
        <w:t>The water system named above hereby certifies that its Consumer Confidence Report was distributed on ____</w:t>
      </w:r>
      <w:r w:rsidR="007A4F88">
        <w:t>6</w:t>
      </w:r>
      <w:r w:rsidR="002237D3">
        <w:t>-</w:t>
      </w:r>
      <w:r w:rsidR="00232547">
        <w:t>21</w:t>
      </w:r>
      <w:r w:rsidR="002237D3">
        <w:t>-20</w:t>
      </w:r>
      <w:r w:rsidR="00F87034">
        <w:t>2</w:t>
      </w:r>
      <w:r w:rsidR="00387EF4">
        <w:t>1</w:t>
      </w:r>
      <w:r w:rsidR="002237D3">
        <w:t>_</w:t>
      </w:r>
      <w:proofErr w:type="gramStart"/>
      <w:r w:rsidR="002237D3">
        <w:t xml:space="preserve">_ </w:t>
      </w:r>
      <w:r w:rsidRPr="005C02F2">
        <w:t xml:space="preserve"> (</w:t>
      </w:r>
      <w:proofErr w:type="gramEnd"/>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146"/>
        <w:gridCol w:w="719"/>
        <w:gridCol w:w="2186"/>
      </w:tblGrid>
      <w:tr w:rsidR="005879C4" w:rsidRPr="005C02F2" w14:paraId="55EFFA2A" w14:textId="77777777" w:rsidTr="005D5750">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146" w:type="dxa"/>
            <w:tcBorders>
              <w:bottom w:val="single" w:sz="4" w:space="0" w:color="auto"/>
            </w:tcBorders>
            <w:vAlign w:val="bottom"/>
          </w:tcPr>
          <w:p w14:paraId="2458F6CE" w14:textId="2D2D1C1F" w:rsidR="005879C4" w:rsidRPr="005C02F2" w:rsidRDefault="002237D3">
            <w:pPr>
              <w:pStyle w:val="BodyText"/>
              <w:spacing w:before="0"/>
            </w:pPr>
            <w:r>
              <w:t>Dave Lennier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5D5750">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146" w:type="dxa"/>
            <w:tcBorders>
              <w:top w:val="single" w:sz="4" w:space="0" w:color="auto"/>
              <w:bottom w:val="single" w:sz="4" w:space="0" w:color="auto"/>
            </w:tcBorders>
            <w:vAlign w:val="bottom"/>
          </w:tcPr>
          <w:p w14:paraId="44EFBFE2" w14:textId="77777777" w:rsidR="005879C4" w:rsidRPr="005C02F2" w:rsidRDefault="005879C4">
            <w:pPr>
              <w:pStyle w:val="BodyText"/>
              <w:spacing w:before="0"/>
            </w:pP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5879C4" w:rsidRPr="005C02F2" w14:paraId="18FD5296" w14:textId="77777777" w:rsidTr="005D5750">
        <w:trPr>
          <w:cantSplit/>
          <w:trHeight w:val="360"/>
        </w:trPr>
        <w:tc>
          <w:tcPr>
            <w:tcW w:w="1618" w:type="dxa"/>
            <w:vAlign w:val="bottom"/>
          </w:tcPr>
          <w:p w14:paraId="6C71FBAB" w14:textId="77777777" w:rsidR="005879C4" w:rsidRPr="005C02F2" w:rsidRDefault="005879C4">
            <w:pPr>
              <w:pStyle w:val="BodyText"/>
              <w:spacing w:before="0"/>
            </w:pPr>
          </w:p>
        </w:tc>
        <w:tc>
          <w:tcPr>
            <w:tcW w:w="1691" w:type="dxa"/>
            <w:vAlign w:val="bottom"/>
          </w:tcPr>
          <w:p w14:paraId="6BD0C595" w14:textId="77777777" w:rsidR="005879C4" w:rsidRPr="005C02F2" w:rsidRDefault="005879C4">
            <w:pPr>
              <w:pStyle w:val="BodyText"/>
              <w:spacing w:before="0"/>
            </w:pPr>
            <w:r w:rsidRPr="005C02F2">
              <w:t>Title:</w:t>
            </w:r>
          </w:p>
        </w:tc>
        <w:tc>
          <w:tcPr>
            <w:tcW w:w="3146" w:type="dxa"/>
            <w:tcBorders>
              <w:top w:val="single" w:sz="4" w:space="0" w:color="auto"/>
              <w:bottom w:val="single" w:sz="4" w:space="0" w:color="auto"/>
            </w:tcBorders>
            <w:vAlign w:val="bottom"/>
          </w:tcPr>
          <w:p w14:paraId="4338C5B6" w14:textId="37D278CF" w:rsidR="005879C4" w:rsidRPr="005C02F2" w:rsidRDefault="002237D3">
            <w:pPr>
              <w:pStyle w:val="BodyText"/>
              <w:spacing w:before="0"/>
            </w:pPr>
            <w:r>
              <w:t>Water Distribution Operations Manager</w:t>
            </w:r>
          </w:p>
        </w:tc>
        <w:tc>
          <w:tcPr>
            <w:tcW w:w="719" w:type="dxa"/>
            <w:tcBorders>
              <w:top w:val="single" w:sz="4" w:space="0" w:color="auto"/>
              <w:bottom w:val="single" w:sz="4" w:space="0" w:color="auto"/>
            </w:tcBorders>
            <w:vAlign w:val="bottom"/>
          </w:tcPr>
          <w:p w14:paraId="7405B633"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1A2BAFA0" w14:textId="77777777" w:rsidR="005879C4" w:rsidRPr="005C02F2" w:rsidRDefault="005879C4">
            <w:pPr>
              <w:pStyle w:val="BodyText"/>
              <w:spacing w:before="0"/>
            </w:pPr>
          </w:p>
        </w:tc>
      </w:tr>
      <w:tr w:rsidR="005879C4" w:rsidRPr="005C02F2" w14:paraId="0C819C82" w14:textId="77777777" w:rsidTr="005D5750">
        <w:trPr>
          <w:cantSplit/>
          <w:trHeight w:val="360"/>
        </w:trPr>
        <w:tc>
          <w:tcPr>
            <w:tcW w:w="1618" w:type="dxa"/>
            <w:vAlign w:val="bottom"/>
          </w:tcPr>
          <w:p w14:paraId="49560694" w14:textId="77777777" w:rsidR="005879C4" w:rsidRPr="005C02F2" w:rsidRDefault="005879C4">
            <w:pPr>
              <w:pStyle w:val="BodyText"/>
              <w:spacing w:before="0"/>
            </w:pPr>
          </w:p>
        </w:tc>
        <w:tc>
          <w:tcPr>
            <w:tcW w:w="1691" w:type="dxa"/>
            <w:vAlign w:val="bottom"/>
          </w:tcPr>
          <w:p w14:paraId="04473D8D" w14:textId="77777777" w:rsidR="005879C4" w:rsidRPr="005C02F2" w:rsidRDefault="005879C4">
            <w:pPr>
              <w:pStyle w:val="BodyText"/>
              <w:spacing w:before="0"/>
            </w:pPr>
            <w:r w:rsidRPr="005C02F2">
              <w:t>Phone Number:</w:t>
            </w:r>
          </w:p>
        </w:tc>
        <w:tc>
          <w:tcPr>
            <w:tcW w:w="3146" w:type="dxa"/>
            <w:tcBorders>
              <w:top w:val="single" w:sz="4" w:space="0" w:color="auto"/>
              <w:bottom w:val="single" w:sz="4" w:space="0" w:color="auto"/>
            </w:tcBorders>
            <w:vAlign w:val="bottom"/>
          </w:tcPr>
          <w:p w14:paraId="3C10FF46" w14:textId="5CC5219B" w:rsidR="005879C4" w:rsidRPr="005C02F2" w:rsidRDefault="002237D3">
            <w:pPr>
              <w:pStyle w:val="BodyText"/>
              <w:spacing w:before="0"/>
            </w:pPr>
            <w:proofErr w:type="gramStart"/>
            <w:r>
              <w:t>( 925</w:t>
            </w:r>
            <w:proofErr w:type="gramEnd"/>
            <w:r>
              <w:t xml:space="preserve"> </w:t>
            </w:r>
            <w:r w:rsidR="005879C4" w:rsidRPr="005C02F2">
              <w:t>)</w:t>
            </w:r>
            <w:r>
              <w:t xml:space="preserve"> 960-8138</w:t>
            </w:r>
          </w:p>
        </w:tc>
        <w:tc>
          <w:tcPr>
            <w:tcW w:w="719" w:type="dxa"/>
            <w:tcBorders>
              <w:top w:val="single" w:sz="4" w:space="0" w:color="auto"/>
            </w:tcBorders>
            <w:vAlign w:val="bottom"/>
          </w:tcPr>
          <w:p w14:paraId="731DEAFB" w14:textId="77777777" w:rsidR="005879C4" w:rsidRPr="005C02F2" w:rsidRDefault="005879C4">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F4D5C87" w:rsidR="005879C4" w:rsidRPr="005C02F2" w:rsidRDefault="00E90498">
            <w:pPr>
              <w:pStyle w:val="BodyText"/>
              <w:spacing w:before="0"/>
            </w:pPr>
            <w:r>
              <w:t>6</w:t>
            </w:r>
            <w:r w:rsidR="002237D3">
              <w:t>-</w:t>
            </w:r>
            <w:r w:rsidR="00232547">
              <w:t>21</w:t>
            </w:r>
            <w:r w:rsidR="002237D3">
              <w:t>-20</w:t>
            </w:r>
            <w:r w:rsidR="00F87034">
              <w:t>2</w:t>
            </w:r>
            <w:r w:rsidR="004B72BA">
              <w:t>1</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0DDE0CE0" w:rsidR="005879C4" w:rsidRPr="005C02F2" w:rsidRDefault="003C1783" w:rsidP="00501728">
      <w:pPr>
        <w:tabs>
          <w:tab w:val="left" w:pos="9360"/>
        </w:tabs>
        <w:spacing w:line="300" w:lineRule="auto"/>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7C70DF14" w:rsidR="006C7ED4" w:rsidRPr="005C02F2" w:rsidRDefault="003C1783" w:rsidP="004E6F6F">
      <w:pPr>
        <w:tabs>
          <w:tab w:val="left" w:pos="9360"/>
        </w:tabs>
        <w:spacing w:line="300"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232547">
        <w:rPr>
          <w:sz w:val="22"/>
        </w:rPr>
      </w:r>
      <w:r w:rsidR="00232547">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6D6354C2" w:rsidR="005879C4" w:rsidRPr="005C02F2" w:rsidRDefault="003C1783" w:rsidP="00501728">
      <w:pPr>
        <w:tabs>
          <w:tab w:val="left" w:pos="540"/>
          <w:tab w:val="left" w:pos="9360"/>
        </w:tabs>
        <w:spacing w:line="300" w:lineRule="auto"/>
        <w:ind w:left="634" w:hanging="634"/>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232547">
        <w:rPr>
          <w:sz w:val="24"/>
        </w:rPr>
      </w:r>
      <w:r w:rsidR="00232547">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0509E94F" w14:textId="44BCFBE3" w:rsidR="005879C4" w:rsidRPr="005C02F2" w:rsidRDefault="003C1783"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hyperlink r:id="rId10" w:history="1">
        <w:r w:rsidR="00387EF4">
          <w:rPr>
            <w:rStyle w:val="Hyperlink"/>
          </w:rPr>
          <w:t>https://gemgrp.com/eReports/CNCA000183Y21</w:t>
        </w:r>
      </w:hyperlink>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Posted the CCR in public places (attach a list of locations)</w:t>
      </w:r>
    </w:p>
    <w:p w14:paraId="3974AC61" w14:textId="2BADFD6C" w:rsidR="005879C4" w:rsidRPr="005C02F2" w:rsidRDefault="002237D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5879C4" w:rsidRPr="005C02F2">
        <w:rPr>
          <w:sz w:val="22"/>
        </w:rPr>
        <w:tab/>
        <w:t>Delivery of multiple copies of CCR to single</w:t>
      </w:r>
      <w:r w:rsidR="002214BA" w:rsidRPr="005C02F2">
        <w:rPr>
          <w:sz w:val="22"/>
        </w:rPr>
        <w:t>-</w:t>
      </w:r>
      <w:r w:rsidR="005879C4" w:rsidRPr="005C02F2">
        <w:rPr>
          <w:sz w:val="22"/>
        </w:rPr>
        <w:t>bill</w:t>
      </w:r>
      <w:r w:rsidR="002214BA" w:rsidRPr="005C02F2">
        <w:rPr>
          <w:sz w:val="22"/>
        </w:rPr>
        <w:t>ed</w:t>
      </w:r>
      <w:r w:rsidR="005879C4"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11894C3C" w:rsidR="00712C02" w:rsidRPr="005C02F2" w:rsidRDefault="003C1783" w:rsidP="00501728">
      <w:pPr>
        <w:tabs>
          <w:tab w:val="left" w:pos="9360"/>
        </w:tabs>
        <w:spacing w:line="300" w:lineRule="auto"/>
        <w:ind w:left="117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r>
        <w:rPr>
          <w:sz w:val="22"/>
        </w:rPr>
        <w:t xml:space="preserve"> – TWITTER on </w:t>
      </w:r>
      <w:r w:rsidR="007A4F88">
        <w:rPr>
          <w:sz w:val="22"/>
        </w:rPr>
        <w:t>June</w:t>
      </w:r>
      <w:r>
        <w:rPr>
          <w:sz w:val="22"/>
        </w:rPr>
        <w:t xml:space="preserve"> 3, 20</w:t>
      </w:r>
      <w:r w:rsidR="00F87034">
        <w:rPr>
          <w:sz w:val="22"/>
        </w:rPr>
        <w:t>20</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232547">
        <w:rPr>
          <w:sz w:val="24"/>
        </w:rPr>
      </w:r>
      <w:r w:rsidR="00232547">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2566DC3C" w:rsidR="00D12D93" w:rsidRPr="005C02F2" w:rsidRDefault="003C1783"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1" w:history="1">
        <w:r w:rsidR="00387EF4">
          <w:rPr>
            <w:rStyle w:val="Hyperlink"/>
          </w:rPr>
          <w:t>https://gemgrp.com/eReports/CNCA000183Y21</w:t>
        </w:r>
      </w:hyperlink>
    </w:p>
    <w:p w14:paraId="39C90549" w14:textId="2AE86769" w:rsidR="00D12D93" w:rsidRPr="005C02F2" w:rsidRDefault="003C1783"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232547">
        <w:rPr>
          <w:sz w:val="22"/>
        </w:rPr>
      </w:r>
      <w:r w:rsidR="00232547">
        <w:rPr>
          <w:sz w:val="22"/>
        </w:rPr>
        <w:fldChar w:fldCharType="separate"/>
      </w:r>
      <w:r>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2" w:history="1">
        <w:r w:rsidR="00387EF4">
          <w:rPr>
            <w:rStyle w:val="Hyperlink"/>
          </w:rPr>
          <w:t>https://gemgrp.com/eReports/CNCA000183Y21</w:t>
        </w:r>
      </w:hyperlink>
    </w:p>
    <w:p w14:paraId="6FDC93C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232547">
        <w:rPr>
          <w:sz w:val="22"/>
        </w:rPr>
      </w:r>
      <w:r w:rsidR="00232547">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77777777"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8820F1" w:rsidRPr="00361BDB" w14:paraId="38AE72C4" w14:textId="77777777" w:rsidTr="002237D3">
        <w:trPr>
          <w:trHeight w:val="304"/>
        </w:trPr>
        <w:tc>
          <w:tcPr>
            <w:tcW w:w="8202" w:type="dxa"/>
            <w:tcBorders>
              <w:left w:val="nil"/>
              <w:right w:val="nil"/>
            </w:tcBorders>
            <w:shd w:val="clear" w:color="auto" w:fill="auto"/>
          </w:tcPr>
          <w:p w14:paraId="36D230FF" w14:textId="4350DAF6" w:rsidR="008820F1" w:rsidRPr="003C1783" w:rsidRDefault="003C1783" w:rsidP="003C1783">
            <w:pPr>
              <w:pStyle w:val="BodyText2"/>
              <w:spacing w:before="0" w:after="0" w:line="276" w:lineRule="auto"/>
              <w:rPr>
                <w:i w:val="0"/>
                <w:szCs w:val="22"/>
              </w:rPr>
            </w:pPr>
            <w:r w:rsidRPr="003C1783">
              <w:rPr>
                <w:i w:val="0"/>
                <w:szCs w:val="22"/>
              </w:rPr>
              <w:t xml:space="preserve">A direct hyperlink was included in all billing statements to customers, both hard copy and electronic.  The </w:t>
            </w:r>
            <w:r>
              <w:rPr>
                <w:i w:val="0"/>
                <w:szCs w:val="22"/>
              </w:rPr>
              <w:t xml:space="preserve">City </w:t>
            </w:r>
            <w:r w:rsidRPr="003C1783">
              <w:rPr>
                <w:i w:val="0"/>
                <w:szCs w:val="22"/>
              </w:rPr>
              <w:t xml:space="preserve">highlighted </w:t>
            </w:r>
            <w:r>
              <w:rPr>
                <w:i w:val="0"/>
                <w:szCs w:val="22"/>
              </w:rPr>
              <w:t xml:space="preserve">the report </w:t>
            </w:r>
            <w:r w:rsidRPr="003C1783">
              <w:rPr>
                <w:i w:val="0"/>
                <w:szCs w:val="22"/>
              </w:rPr>
              <w:t>immediately below the customer’s name and address in a “News for You” box.  This notification included a direct hyperlink as</w:t>
            </w:r>
            <w:r>
              <w:rPr>
                <w:i w:val="0"/>
                <w:szCs w:val="22"/>
              </w:rPr>
              <w:t xml:space="preserve"> w</w:t>
            </w:r>
            <w:r w:rsidRPr="003C1783">
              <w:rPr>
                <w:i w:val="0"/>
                <w:szCs w:val="22"/>
              </w:rPr>
              <w:t>ell as a phone number should the customer desire a hard copy of the report.</w:t>
            </w:r>
          </w:p>
        </w:tc>
      </w:tr>
      <w:tr w:rsidR="008820F1" w:rsidRPr="00361BDB" w14:paraId="1461CCAD" w14:textId="77777777" w:rsidTr="002237D3">
        <w:trPr>
          <w:trHeight w:val="324"/>
        </w:trPr>
        <w:tc>
          <w:tcPr>
            <w:tcW w:w="8202" w:type="dxa"/>
            <w:tcBorders>
              <w:left w:val="nil"/>
              <w:right w:val="nil"/>
            </w:tcBorders>
            <w:shd w:val="clear" w:color="auto" w:fill="auto"/>
          </w:tcPr>
          <w:p w14:paraId="177591A9" w14:textId="4BA6A127" w:rsidR="008820F1" w:rsidRPr="003C1783" w:rsidRDefault="003C1783" w:rsidP="003C1783">
            <w:pPr>
              <w:pStyle w:val="BodyText2"/>
              <w:spacing w:before="0" w:after="0" w:line="276" w:lineRule="auto"/>
              <w:rPr>
                <w:i w:val="0"/>
                <w:szCs w:val="22"/>
              </w:rPr>
            </w:pPr>
            <w:r>
              <w:rPr>
                <w:i w:val="0"/>
                <w:szCs w:val="22"/>
              </w:rPr>
              <w:t>The City</w:t>
            </w:r>
            <w:r w:rsidRPr="003C1783">
              <w:rPr>
                <w:i w:val="0"/>
                <w:szCs w:val="22"/>
              </w:rPr>
              <w:t xml:space="preserve"> also promoted </w:t>
            </w:r>
            <w:r>
              <w:rPr>
                <w:i w:val="0"/>
                <w:szCs w:val="22"/>
              </w:rPr>
              <w:t xml:space="preserve">the report </w:t>
            </w:r>
            <w:r w:rsidRPr="003C1783">
              <w:rPr>
                <w:i w:val="0"/>
                <w:szCs w:val="22"/>
              </w:rPr>
              <w:t xml:space="preserve">on the Livermore Public Works Department Twitter page on </w:t>
            </w:r>
            <w:r w:rsidR="007A4F88">
              <w:rPr>
                <w:i w:val="0"/>
                <w:szCs w:val="22"/>
              </w:rPr>
              <w:t>June</w:t>
            </w:r>
            <w:r w:rsidRPr="003C1783">
              <w:rPr>
                <w:i w:val="0"/>
                <w:szCs w:val="22"/>
              </w:rPr>
              <w:t xml:space="preserve"> 3, 20</w:t>
            </w:r>
            <w:r w:rsidR="00F87034">
              <w:rPr>
                <w:i w:val="0"/>
                <w:szCs w:val="22"/>
              </w:rPr>
              <w:t>20</w:t>
            </w:r>
            <w:r w:rsidRPr="003C1783">
              <w:rPr>
                <w:i w:val="0"/>
                <w:szCs w:val="22"/>
              </w:rPr>
              <w:t>.</w:t>
            </w:r>
          </w:p>
        </w:tc>
      </w:tr>
      <w:tr w:rsidR="008820F1" w:rsidRPr="00361BDB" w14:paraId="1BC253C7" w14:textId="77777777" w:rsidTr="002237D3">
        <w:trPr>
          <w:trHeight w:val="324"/>
        </w:trPr>
        <w:tc>
          <w:tcPr>
            <w:tcW w:w="8202" w:type="dxa"/>
            <w:tcBorders>
              <w:left w:val="nil"/>
              <w:right w:val="nil"/>
            </w:tcBorders>
            <w:shd w:val="clear" w:color="auto" w:fill="auto"/>
          </w:tcPr>
          <w:p w14:paraId="06F5B8E1" w14:textId="5B46C3E8" w:rsidR="008820F1" w:rsidRPr="003C1783" w:rsidRDefault="00CF1DCF" w:rsidP="007F488B">
            <w:pPr>
              <w:pStyle w:val="BodyText2"/>
              <w:spacing w:before="0" w:after="0" w:line="276" w:lineRule="auto"/>
              <w:jc w:val="left"/>
              <w:rPr>
                <w:i w:val="0"/>
                <w:szCs w:val="22"/>
              </w:rPr>
            </w:pPr>
            <w:r>
              <w:rPr>
                <w:i w:val="0"/>
                <w:szCs w:val="22"/>
              </w:rPr>
              <w:t>The City also posted a direct link to the report on the City’s website in addition to the electronic services company website (Gem Group).</w:t>
            </w:r>
            <w:r w:rsidR="007F488B">
              <w:rPr>
                <w:i w:val="0"/>
                <w:szCs w:val="22"/>
              </w:rPr>
              <w:t xml:space="preserve">  This link is available on the Water page under the title of “Annual Water Quality Report” at </w:t>
            </w:r>
            <w:hyperlink r:id="rId13" w:anchor="awqr" w:history="1">
              <w:r w:rsidR="006F344E">
                <w:rPr>
                  <w:rStyle w:val="Hyperlink"/>
                </w:rPr>
                <w:t>https://www.cityoflivermore.net/citygov/pw/public_works_divis</w:t>
              </w:r>
              <w:r w:rsidR="006F344E">
                <w:rPr>
                  <w:rStyle w:val="Hyperlink"/>
                </w:rPr>
                <w:t>i</w:t>
              </w:r>
              <w:r w:rsidR="006F344E">
                <w:rPr>
                  <w:rStyle w:val="Hyperlink"/>
                </w:rPr>
                <w:t>ons/wrd/reports_n_studies.htm#awqr</w:t>
              </w:r>
            </w:hyperlink>
          </w:p>
        </w:tc>
      </w:tr>
      <w:tr w:rsidR="008820F1" w:rsidRPr="00361BDB" w14:paraId="78CD57E4" w14:textId="77777777" w:rsidTr="002237D3">
        <w:trPr>
          <w:trHeight w:val="330"/>
        </w:trPr>
        <w:tc>
          <w:tcPr>
            <w:tcW w:w="8202" w:type="dxa"/>
            <w:tcBorders>
              <w:left w:val="nil"/>
              <w:right w:val="nil"/>
            </w:tcBorders>
            <w:shd w:val="clear" w:color="auto" w:fill="auto"/>
          </w:tcPr>
          <w:p w14:paraId="0914AA13" w14:textId="671EF25C" w:rsidR="008820F1" w:rsidRPr="003C1783" w:rsidRDefault="008820F1" w:rsidP="00361BDB">
            <w:pPr>
              <w:pStyle w:val="BodyText2"/>
              <w:spacing w:before="0" w:after="0" w:line="276" w:lineRule="auto"/>
              <w:rPr>
                <w:i w:val="0"/>
                <w:szCs w:val="22"/>
              </w:rPr>
            </w:pPr>
          </w:p>
        </w:tc>
      </w:tr>
      <w:tr w:rsidR="008820F1" w:rsidRPr="00361BDB" w14:paraId="56323C39" w14:textId="77777777" w:rsidTr="002237D3">
        <w:trPr>
          <w:trHeight w:val="317"/>
        </w:trPr>
        <w:tc>
          <w:tcPr>
            <w:tcW w:w="8202"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2237D3">
        <w:trPr>
          <w:trHeight w:val="330"/>
        </w:trPr>
        <w:tc>
          <w:tcPr>
            <w:tcW w:w="8202"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2237D3">
        <w:trPr>
          <w:trHeight w:val="324"/>
        </w:trPr>
        <w:tc>
          <w:tcPr>
            <w:tcW w:w="8202"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2237D3">
        <w:trPr>
          <w:trHeight w:val="324"/>
        </w:trPr>
        <w:tc>
          <w:tcPr>
            <w:tcW w:w="8202"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2237D3">
        <w:trPr>
          <w:trHeight w:val="330"/>
        </w:trPr>
        <w:tc>
          <w:tcPr>
            <w:tcW w:w="8202"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2237D3">
        <w:trPr>
          <w:trHeight w:val="317"/>
        </w:trPr>
        <w:tc>
          <w:tcPr>
            <w:tcW w:w="8202"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2237D3">
        <w:trPr>
          <w:trHeight w:val="317"/>
        </w:trPr>
        <w:tc>
          <w:tcPr>
            <w:tcW w:w="8202"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2237D3">
        <w:trPr>
          <w:trHeight w:val="324"/>
        </w:trPr>
        <w:tc>
          <w:tcPr>
            <w:tcW w:w="8202"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4"/>
      <w:headerReference w:type="first" r:id="rId15"/>
      <w:footerReference w:type="first" r:id="rId16"/>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89D20" w14:textId="77777777" w:rsidR="00D17BE2" w:rsidRDefault="00D17BE2">
      <w:r>
        <w:separator/>
      </w:r>
    </w:p>
  </w:endnote>
  <w:endnote w:type="continuationSeparator" w:id="0">
    <w:p w14:paraId="370F11D6" w14:textId="77777777" w:rsidR="00D17BE2" w:rsidRDefault="00D1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43948233"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7C21F2">
      <w:rPr>
        <w:i/>
        <w:highlight w:val="yellow"/>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002237D3">
      <w:rPr>
        <w:iCs/>
        <w:noProof/>
      </w:rPr>
      <w:t>2</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48B6371A"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7C21F2">
      <w:rPr>
        <w:i/>
        <w:highlight w:val="yellow"/>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002237D3">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F33B2" w14:textId="77777777" w:rsidR="00D17BE2" w:rsidRDefault="00D17BE2">
      <w:r>
        <w:separator/>
      </w:r>
    </w:p>
  </w:footnote>
  <w:footnote w:type="continuationSeparator" w:id="0">
    <w:p w14:paraId="4E6B58CF" w14:textId="77777777" w:rsidR="00D17BE2" w:rsidRDefault="00D17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23585" w14:textId="0365DA05" w:rsidR="004572E4" w:rsidRPr="004572E4" w:rsidRDefault="004572E4">
    <w:pPr>
      <w:pStyle w:val="Header"/>
      <w:rPr>
        <w:b/>
        <w:color w:val="0000FF"/>
        <w:sz w:val="32"/>
      </w:rPr>
    </w:pPr>
    <w:r w:rsidRPr="004572E4">
      <w:rPr>
        <w:b/>
        <w:color w:val="0000FF"/>
        <w:sz w:val="32"/>
      </w:rPr>
      <w:t xml:space="preserve">APPENDIX B:  </w:t>
    </w:r>
    <w:proofErr w:type="spellStart"/>
    <w:r w:rsidR="00D15F63">
      <w:rPr>
        <w:b/>
        <w:color w:val="0000FF"/>
        <w:sz w:val="32"/>
      </w:rPr>
      <w:t>e</w:t>
    </w:r>
    <w:r w:rsidRPr="004572E4">
      <w:rPr>
        <w:b/>
        <w:color w:val="0000FF"/>
        <w:sz w:val="32"/>
      </w:rPr>
      <w:t>CCR</w:t>
    </w:r>
    <w:proofErr w:type="spellEnd"/>
    <w:r w:rsidRPr="004572E4">
      <w:rPr>
        <w:b/>
        <w:color w:val="0000FF"/>
        <w:sz w:val="32"/>
      </w:rPr>
      <w:t xml:space="preserve"> Certification Form (Suggested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B3820"/>
    <w:rsid w:val="000C462F"/>
    <w:rsid w:val="00112E26"/>
    <w:rsid w:val="00120AE1"/>
    <w:rsid w:val="001471CC"/>
    <w:rsid w:val="00156593"/>
    <w:rsid w:val="001A1FAF"/>
    <w:rsid w:val="001E0392"/>
    <w:rsid w:val="001F44D6"/>
    <w:rsid w:val="001F5C84"/>
    <w:rsid w:val="00211F95"/>
    <w:rsid w:val="002214BA"/>
    <w:rsid w:val="002237D3"/>
    <w:rsid w:val="00232547"/>
    <w:rsid w:val="0030525B"/>
    <w:rsid w:val="00330A26"/>
    <w:rsid w:val="00334369"/>
    <w:rsid w:val="00361BDB"/>
    <w:rsid w:val="00363A94"/>
    <w:rsid w:val="00365B25"/>
    <w:rsid w:val="00383FAA"/>
    <w:rsid w:val="00387EF4"/>
    <w:rsid w:val="003C1783"/>
    <w:rsid w:val="003C1F79"/>
    <w:rsid w:val="00443180"/>
    <w:rsid w:val="00453C34"/>
    <w:rsid w:val="004572E4"/>
    <w:rsid w:val="00457560"/>
    <w:rsid w:val="004A54FB"/>
    <w:rsid w:val="004B72BA"/>
    <w:rsid w:val="004C1B40"/>
    <w:rsid w:val="004E6F6F"/>
    <w:rsid w:val="00501728"/>
    <w:rsid w:val="00560E70"/>
    <w:rsid w:val="0057568B"/>
    <w:rsid w:val="00585B6F"/>
    <w:rsid w:val="00585D36"/>
    <w:rsid w:val="005879C4"/>
    <w:rsid w:val="005B6F30"/>
    <w:rsid w:val="005C02F2"/>
    <w:rsid w:val="005D5750"/>
    <w:rsid w:val="005F7D85"/>
    <w:rsid w:val="00622734"/>
    <w:rsid w:val="00626A86"/>
    <w:rsid w:val="006529D3"/>
    <w:rsid w:val="0065406D"/>
    <w:rsid w:val="00656EAE"/>
    <w:rsid w:val="006576EF"/>
    <w:rsid w:val="00674084"/>
    <w:rsid w:val="006C7ED4"/>
    <w:rsid w:val="006F344E"/>
    <w:rsid w:val="00711A0A"/>
    <w:rsid w:val="00712C02"/>
    <w:rsid w:val="00751264"/>
    <w:rsid w:val="007809A6"/>
    <w:rsid w:val="00790002"/>
    <w:rsid w:val="007A2194"/>
    <w:rsid w:val="007A4F88"/>
    <w:rsid w:val="007C044D"/>
    <w:rsid w:val="007F0706"/>
    <w:rsid w:val="007F3522"/>
    <w:rsid w:val="007F488B"/>
    <w:rsid w:val="0081562A"/>
    <w:rsid w:val="00870836"/>
    <w:rsid w:val="008820F1"/>
    <w:rsid w:val="00895595"/>
    <w:rsid w:val="008E1468"/>
    <w:rsid w:val="008E6AE5"/>
    <w:rsid w:val="008F7F77"/>
    <w:rsid w:val="00935B60"/>
    <w:rsid w:val="00957463"/>
    <w:rsid w:val="00977AE5"/>
    <w:rsid w:val="0099450E"/>
    <w:rsid w:val="009A218C"/>
    <w:rsid w:val="009D2454"/>
    <w:rsid w:val="009D7F48"/>
    <w:rsid w:val="00A16B9D"/>
    <w:rsid w:val="00A16F17"/>
    <w:rsid w:val="00A20B80"/>
    <w:rsid w:val="00A62B7A"/>
    <w:rsid w:val="00A75D4F"/>
    <w:rsid w:val="00AF388E"/>
    <w:rsid w:val="00B21764"/>
    <w:rsid w:val="00B80B89"/>
    <w:rsid w:val="00B82D2F"/>
    <w:rsid w:val="00BA7831"/>
    <w:rsid w:val="00BC4716"/>
    <w:rsid w:val="00BF29A9"/>
    <w:rsid w:val="00BF5852"/>
    <w:rsid w:val="00C0687E"/>
    <w:rsid w:val="00C72C2F"/>
    <w:rsid w:val="00C84134"/>
    <w:rsid w:val="00C853A5"/>
    <w:rsid w:val="00CA15EF"/>
    <w:rsid w:val="00CC4C8F"/>
    <w:rsid w:val="00CC766C"/>
    <w:rsid w:val="00CD0683"/>
    <w:rsid w:val="00CF1DCF"/>
    <w:rsid w:val="00D12D93"/>
    <w:rsid w:val="00D15F63"/>
    <w:rsid w:val="00D17BE2"/>
    <w:rsid w:val="00D712AD"/>
    <w:rsid w:val="00D85ABA"/>
    <w:rsid w:val="00DB3544"/>
    <w:rsid w:val="00DE5C03"/>
    <w:rsid w:val="00E0333A"/>
    <w:rsid w:val="00E04B0C"/>
    <w:rsid w:val="00E33340"/>
    <w:rsid w:val="00E439FA"/>
    <w:rsid w:val="00E90498"/>
    <w:rsid w:val="00E968EB"/>
    <w:rsid w:val="00EB7195"/>
    <w:rsid w:val="00ED2672"/>
    <w:rsid w:val="00ED4809"/>
    <w:rsid w:val="00F26849"/>
    <w:rsid w:val="00F27578"/>
    <w:rsid w:val="00F31A99"/>
    <w:rsid w:val="00F87034"/>
    <w:rsid w:val="00FC0BDA"/>
    <w:rsid w:val="00FD518C"/>
    <w:rsid w:val="00FE0FCE"/>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styleId="FollowedHyperlink">
    <w:name w:val="FollowedHyperlink"/>
    <w:basedOn w:val="DefaultParagraphFont"/>
    <w:rsid w:val="007F48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tyoflivermore.net/citygov/pw/public_works_divisions/wrd/reports_n_studie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mgrp.com/eReports/CNCA000183Y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mgrp.com/eReports/CNCA000183Y2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gemgrp.com/eReports/CNCA000183Y2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B0F2025549F04B9A31E7D5FA8EF90D" ma:contentTypeVersion="14" ma:contentTypeDescription="Create a new document." ma:contentTypeScope="" ma:versionID="e51b17cbd74a97831c081006d7586621">
  <xsd:schema xmlns:xsd="http://www.w3.org/2001/XMLSchema" xmlns:xs="http://www.w3.org/2001/XMLSchema" xmlns:p="http://schemas.microsoft.com/office/2006/metadata/properties" xmlns:ns2="2760c3d5-6ecb-4ce1-8094-d77879ae6bc9" xmlns:ns3="14a36a71-bb4b-4ec0-9ca5-0cdf6e81137f" targetNamespace="http://schemas.microsoft.com/office/2006/metadata/properties" ma:root="true" ma:fieldsID="1dbab58e6ac974599efc10a1e3688236" ns2:_="" ns3:_="">
    <xsd:import namespace="2760c3d5-6ecb-4ce1-8094-d77879ae6bc9"/>
    <xsd:import namespace="14a36a71-bb4b-4ec0-9ca5-0cdf6e81137f"/>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0c3d5-6ecb-4ce1-8094-d77879ae6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Choice">
          <xsd:enumeration value="Active"/>
          <xsd:enumeration value="Expired"/>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73ee7d9-ddf5-4832-86c3-5e5d525dd0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36a71-bb4b-4ec0-9ca5-0cdf6e8113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9ae89b-825e-4e3c-a364-06d35e338087}" ma:internalName="TaxCatchAll" ma:showField="CatchAllData" ma:web="14a36a71-bb4b-4ec0-9ca5-0cdf6e811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60c3d5-6ecb-4ce1-8094-d77879ae6bc9">
      <Terms xmlns="http://schemas.microsoft.com/office/infopath/2007/PartnerControls"/>
    </lcf76f155ced4ddcb4097134ff3c332f>
    <Status xmlns="2760c3d5-6ecb-4ce1-8094-d77879ae6bc9" xsi:nil="true"/>
    <TaxCatchAll xmlns="14a36a71-bb4b-4ec0-9ca5-0cdf6e81137f" xsi:nil="true"/>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257DAC7D-EF36-4AA2-A272-B94BFD3431CA}"/>
</file>

<file path=customXml/itemProps4.xml><?xml version="1.0" encoding="utf-8"?>
<ds:datastoreItem xmlns:ds="http://schemas.openxmlformats.org/officeDocument/2006/customXml" ds:itemID="{E18111A1-D55D-41CA-B537-FA49177CB343}">
  <ds:schemaRefs>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08d20643-fcde-45ea-a937-2ec378b594f6"/>
    <ds:schemaRef ds:uri="http://schemas.microsoft.com/sharepoint/v3"/>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727</Words>
  <Characters>4750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David Lennier</cp:lastModifiedBy>
  <cp:revision>13</cp:revision>
  <cp:lastPrinted>2021-06-29T17:21:00Z</cp:lastPrinted>
  <dcterms:created xsi:type="dcterms:W3CDTF">2019-07-12T17:38:00Z</dcterms:created>
  <dcterms:modified xsi:type="dcterms:W3CDTF">2021-06-29T17:22:00Z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0x01010070B0F2025549F04B9A31E7D5FA8EF90D</vt:lpwstr>
  </property>
</Properties>
</file>